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6DE0" w14:textId="163EE184" w:rsidR="0050678E" w:rsidRPr="007638E6" w:rsidRDefault="00EA2548" w:rsidP="00EA2548">
      <w:pPr>
        <w:pBdr>
          <w:top w:val="single" w:sz="18" w:space="1" w:color="auto"/>
        </w:pBdr>
        <w:tabs>
          <w:tab w:val="left" w:pos="3261"/>
          <w:tab w:val="left" w:pos="3402"/>
        </w:tabs>
        <w:spacing w:line="300" w:lineRule="exact"/>
        <w:ind w:left="-142" w:right="5811"/>
        <w:outlineLvl w:val="0"/>
        <w:rPr>
          <w:rFonts w:eastAsia="Times New Roman" w:cs="Arial"/>
          <w:b/>
          <w:spacing w:val="10"/>
          <w:sz w:val="26"/>
          <w:szCs w:val="26"/>
          <w:lang w:eastAsia="cs-CZ"/>
        </w:rPr>
      </w:pPr>
      <w:r w:rsidRPr="007638E6">
        <w:rPr>
          <w:rFonts w:eastAsia="Times New Roman" w:cs="Arial"/>
          <w:b/>
          <w:spacing w:val="10"/>
          <w:sz w:val="26"/>
          <w:szCs w:val="26"/>
          <w:lang w:eastAsia="cs-CZ"/>
        </w:rPr>
        <w:t>Důvodová</w:t>
      </w:r>
      <w:r w:rsidR="00B775CB" w:rsidRPr="00B775CB">
        <w:rPr>
          <w:rFonts w:eastAsia="Times New Roman" w:cs="Arial"/>
          <w:b/>
          <w:spacing w:val="60"/>
          <w:sz w:val="26"/>
          <w:szCs w:val="26"/>
          <w:lang w:eastAsia="cs-CZ"/>
        </w:rPr>
        <w:t> </w:t>
      </w:r>
      <w:r w:rsidR="00273CDB" w:rsidRPr="007638E6">
        <w:rPr>
          <w:rFonts w:eastAsia="Times New Roman" w:cs="Arial"/>
          <w:b/>
          <w:spacing w:val="10"/>
          <w:sz w:val="26"/>
          <w:szCs w:val="26"/>
          <w:lang w:eastAsia="cs-CZ"/>
        </w:rPr>
        <w:t>z</w:t>
      </w:r>
      <w:r w:rsidRPr="007638E6">
        <w:rPr>
          <w:rFonts w:eastAsia="Times New Roman" w:cs="Arial"/>
          <w:b/>
          <w:spacing w:val="10"/>
          <w:sz w:val="26"/>
          <w:szCs w:val="26"/>
          <w:lang w:eastAsia="cs-CZ"/>
        </w:rPr>
        <w:t>práva</w:t>
      </w:r>
    </w:p>
    <w:p w14:paraId="5FAF8935" w14:textId="77777777" w:rsidR="00D56460" w:rsidRDefault="00B701A6" w:rsidP="00D56460">
      <w:pPr>
        <w:spacing w:after="80"/>
        <w:jc w:val="both"/>
        <w:rPr>
          <w:bCs/>
          <w:sz w:val="23"/>
          <w:szCs w:val="23"/>
        </w:rPr>
      </w:pPr>
      <w:r w:rsidRPr="00B701A6">
        <w:rPr>
          <w:bCs/>
          <w:sz w:val="23"/>
          <w:szCs w:val="23"/>
        </w:rPr>
        <w:t>Zastupitelstvu města je navrhováno</w:t>
      </w:r>
      <w:r w:rsidR="00D56460">
        <w:rPr>
          <w:bCs/>
          <w:sz w:val="23"/>
          <w:szCs w:val="23"/>
        </w:rPr>
        <w:t>:</w:t>
      </w:r>
    </w:p>
    <w:p w14:paraId="28108746" w14:textId="33ECF565" w:rsidR="00D56460" w:rsidRDefault="00B701A6" w:rsidP="00D56460">
      <w:pPr>
        <w:pStyle w:val="Odstavecseseznamem"/>
        <w:numPr>
          <w:ilvl w:val="0"/>
          <w:numId w:val="11"/>
        </w:numPr>
        <w:ind w:left="284" w:hanging="142"/>
        <w:jc w:val="both"/>
        <w:rPr>
          <w:bCs/>
          <w:sz w:val="23"/>
          <w:szCs w:val="23"/>
        </w:rPr>
      </w:pPr>
      <w:r w:rsidRPr="00D56460">
        <w:rPr>
          <w:bCs/>
          <w:sz w:val="23"/>
          <w:szCs w:val="23"/>
        </w:rPr>
        <w:t xml:space="preserve">rozhodnout o přijetí dotace z Operačního programu Doprava od poskytovatele podpory: </w:t>
      </w:r>
      <w:r w:rsidRPr="00D56460">
        <w:rPr>
          <w:bCs/>
        </w:rPr>
        <w:t xml:space="preserve">Státní fond dopravní infrastruktury </w:t>
      </w:r>
      <w:r w:rsidRPr="00D56460">
        <w:rPr>
          <w:bCs/>
          <w:sz w:val="23"/>
          <w:szCs w:val="23"/>
        </w:rPr>
        <w:t xml:space="preserve">(IČO: 70856508), se sídlem Sokolovská 278, 190 00 Praha 9, </w:t>
      </w:r>
      <w:r w:rsidR="00D56460">
        <w:rPr>
          <w:bCs/>
          <w:sz w:val="23"/>
          <w:szCs w:val="23"/>
        </w:rPr>
        <w:t xml:space="preserve">na </w:t>
      </w:r>
      <w:r w:rsidRPr="00D56460">
        <w:rPr>
          <w:bCs/>
          <w:sz w:val="23"/>
          <w:szCs w:val="23"/>
        </w:rPr>
        <w:t xml:space="preserve">projekt v </w:t>
      </w:r>
      <w:proofErr w:type="gramStart"/>
      <w:r w:rsidRPr="00D56460">
        <w:rPr>
          <w:bCs/>
          <w:sz w:val="23"/>
          <w:szCs w:val="23"/>
        </w:rPr>
        <w:t>oblasti  dopravní</w:t>
      </w:r>
      <w:proofErr w:type="gramEnd"/>
      <w:r w:rsidRPr="00D56460">
        <w:rPr>
          <w:bCs/>
          <w:sz w:val="23"/>
          <w:szCs w:val="23"/>
        </w:rPr>
        <w:t xml:space="preserve">   telematiky   s názvem:   </w:t>
      </w:r>
      <w:r w:rsidRPr="00D56460">
        <w:rPr>
          <w:b/>
          <w:i/>
          <w:iCs/>
          <w:sz w:val="23"/>
          <w:szCs w:val="23"/>
        </w:rPr>
        <w:t>Z</w:t>
      </w:r>
      <w:r w:rsidRPr="00D56460">
        <w:rPr>
          <w:b/>
          <w:i/>
          <w:iCs/>
          <w:sz w:val="23"/>
          <w:szCs w:val="23"/>
        </w:rPr>
        <w:t>výšení   propustnosti   křižovatek   v</w:t>
      </w:r>
      <w:r w:rsidR="00D56460">
        <w:rPr>
          <w:b/>
          <w:i/>
          <w:iCs/>
          <w:sz w:val="23"/>
          <w:szCs w:val="23"/>
        </w:rPr>
        <w:t> </w:t>
      </w:r>
      <w:r w:rsidRPr="00D56460">
        <w:rPr>
          <w:b/>
          <w:i/>
          <w:iCs/>
          <w:sz w:val="23"/>
          <w:szCs w:val="23"/>
        </w:rPr>
        <w:t>Ostravě</w:t>
      </w:r>
      <w:r w:rsidRPr="00D56460">
        <w:rPr>
          <w:bCs/>
          <w:sz w:val="23"/>
          <w:szCs w:val="23"/>
        </w:rPr>
        <w:t xml:space="preserve"> dle podmínek Rámcové smlouvy o financování projektu (dále „Smlouva“) dle přílohy č. 1 předloženého materiálu</w:t>
      </w:r>
    </w:p>
    <w:p w14:paraId="36128606" w14:textId="6ABE30B8" w:rsidR="00B701A6" w:rsidRPr="00D56460" w:rsidRDefault="00B701A6" w:rsidP="00D56460">
      <w:pPr>
        <w:pStyle w:val="Odstavecseseznamem"/>
        <w:numPr>
          <w:ilvl w:val="0"/>
          <w:numId w:val="11"/>
        </w:numPr>
        <w:ind w:left="284" w:hanging="142"/>
        <w:jc w:val="both"/>
        <w:rPr>
          <w:bCs/>
          <w:sz w:val="23"/>
          <w:szCs w:val="23"/>
        </w:rPr>
      </w:pPr>
      <w:r w:rsidRPr="00D56460">
        <w:rPr>
          <w:bCs/>
          <w:sz w:val="23"/>
          <w:szCs w:val="23"/>
        </w:rPr>
        <w:t>a současně rozhodnout o uzavření uvedené Smlouvy s tímto poskytovatelem dotace.</w:t>
      </w:r>
    </w:p>
    <w:p w14:paraId="6F4EF5E6" w14:textId="2C0BA8C0" w:rsidR="00ED2E83" w:rsidRPr="008C2F97" w:rsidRDefault="00B701A6" w:rsidP="00B701A6">
      <w:pPr>
        <w:jc w:val="both"/>
        <w:rPr>
          <w:bCs/>
          <w:sz w:val="23"/>
          <w:szCs w:val="23"/>
        </w:rPr>
      </w:pPr>
      <w:r w:rsidRPr="00B701A6">
        <w:rPr>
          <w:bCs/>
          <w:sz w:val="23"/>
          <w:szCs w:val="23"/>
        </w:rPr>
        <w:t xml:space="preserve">Rada města </w:t>
      </w:r>
      <w:r w:rsidR="00D56460">
        <w:rPr>
          <w:bCs/>
          <w:sz w:val="23"/>
          <w:szCs w:val="23"/>
        </w:rPr>
        <w:t xml:space="preserve">již </w:t>
      </w:r>
      <w:r w:rsidRPr="00B701A6">
        <w:rPr>
          <w:bCs/>
          <w:sz w:val="23"/>
          <w:szCs w:val="23"/>
        </w:rPr>
        <w:t xml:space="preserve">odsouhlasila k danému projektu přijetí dotace a </w:t>
      </w:r>
      <w:r>
        <w:rPr>
          <w:bCs/>
          <w:sz w:val="23"/>
          <w:szCs w:val="23"/>
        </w:rPr>
        <w:t xml:space="preserve">doporučila </w:t>
      </w:r>
      <w:r w:rsidRPr="00B701A6">
        <w:rPr>
          <w:bCs/>
          <w:sz w:val="23"/>
          <w:szCs w:val="23"/>
        </w:rPr>
        <w:t>uzavření Smlouvy</w:t>
      </w:r>
      <w:r>
        <w:rPr>
          <w:bCs/>
          <w:sz w:val="23"/>
          <w:szCs w:val="23"/>
        </w:rPr>
        <w:t xml:space="preserve"> </w:t>
      </w:r>
      <w:r w:rsidRPr="00B701A6">
        <w:rPr>
          <w:bCs/>
          <w:sz w:val="23"/>
          <w:szCs w:val="23"/>
        </w:rPr>
        <w:t>usnesení</w:t>
      </w:r>
      <w:r>
        <w:rPr>
          <w:bCs/>
          <w:sz w:val="23"/>
          <w:szCs w:val="23"/>
        </w:rPr>
        <w:t>m</w:t>
      </w:r>
      <w:r w:rsidRPr="00B701A6">
        <w:rPr>
          <w:bCs/>
          <w:sz w:val="23"/>
          <w:szCs w:val="23"/>
        </w:rPr>
        <w:t xml:space="preserve"> č.</w:t>
      </w:r>
      <w:r>
        <w:rPr>
          <w:bCs/>
          <w:sz w:val="23"/>
          <w:szCs w:val="23"/>
        </w:rPr>
        <w:t> </w:t>
      </w:r>
      <w:r w:rsidRPr="00B701A6">
        <w:rPr>
          <w:bCs/>
          <w:sz w:val="23"/>
          <w:szCs w:val="23"/>
        </w:rPr>
        <w:t>05756/RM2226/85</w:t>
      </w:r>
      <w:r>
        <w:rPr>
          <w:bCs/>
          <w:sz w:val="23"/>
          <w:szCs w:val="23"/>
        </w:rPr>
        <w:t xml:space="preserve"> ze </w:t>
      </w:r>
      <w:r w:rsidRPr="00B701A6">
        <w:rPr>
          <w:bCs/>
          <w:sz w:val="23"/>
          <w:szCs w:val="23"/>
        </w:rPr>
        <w:t xml:space="preserve">dne </w:t>
      </w:r>
      <w:r>
        <w:rPr>
          <w:bCs/>
          <w:sz w:val="23"/>
          <w:szCs w:val="23"/>
        </w:rPr>
        <w:t>1</w:t>
      </w:r>
      <w:r w:rsidRPr="00B701A6">
        <w:rPr>
          <w:bCs/>
          <w:sz w:val="23"/>
          <w:szCs w:val="23"/>
        </w:rPr>
        <w:t xml:space="preserve">9. </w:t>
      </w:r>
      <w:r>
        <w:rPr>
          <w:bCs/>
          <w:sz w:val="23"/>
          <w:szCs w:val="23"/>
        </w:rPr>
        <w:t>11</w:t>
      </w:r>
      <w:r w:rsidRPr="00B701A6">
        <w:rPr>
          <w:bCs/>
          <w:sz w:val="23"/>
          <w:szCs w:val="23"/>
        </w:rPr>
        <w:t>. 202</w:t>
      </w:r>
      <w:r>
        <w:rPr>
          <w:bCs/>
          <w:sz w:val="23"/>
          <w:szCs w:val="23"/>
        </w:rPr>
        <w:t>4</w:t>
      </w:r>
      <w:r w:rsidRPr="00B701A6">
        <w:rPr>
          <w:bCs/>
          <w:sz w:val="23"/>
          <w:szCs w:val="23"/>
        </w:rPr>
        <w:t xml:space="preserve">. </w:t>
      </w:r>
    </w:p>
    <w:p w14:paraId="75D85305" w14:textId="2AF8A10D" w:rsidR="00B701A6" w:rsidRPr="00B701A6" w:rsidRDefault="00B701A6" w:rsidP="00B701A6">
      <w:pPr>
        <w:jc w:val="both"/>
        <w:rPr>
          <w:rFonts w:ascii="Aptos" w:hAnsi="Aptos" w:cs="Arial"/>
          <w:color w:val="000000" w:themeColor="text1"/>
          <w:sz w:val="24"/>
          <w:szCs w:val="24"/>
        </w:rPr>
      </w:pPr>
      <w:r w:rsidRPr="00B701A6">
        <w:rPr>
          <w:rFonts w:ascii="Aptos" w:hAnsi="Aptos" w:cs="Arial"/>
          <w:color w:val="000000" w:themeColor="text1"/>
          <w:sz w:val="24"/>
          <w:szCs w:val="24"/>
        </w:rPr>
        <w:t>SMO se jako příjemce podpory v rámci čl. 8 (části A) Smlouvy</w:t>
      </w:r>
      <w:r w:rsidRPr="00B701A6">
        <w:rPr>
          <w:rFonts w:ascii="Aptos" w:hAnsi="Aptos" w:cs="Arial"/>
          <w:color w:val="000000" w:themeColor="text1"/>
          <w:sz w:val="24"/>
          <w:szCs w:val="24"/>
        </w:rPr>
        <w:t xml:space="preserve"> </w:t>
      </w:r>
      <w:r w:rsidRPr="00B701A6">
        <w:rPr>
          <w:rFonts w:ascii="Aptos" w:hAnsi="Aptos" w:cs="Arial"/>
          <w:color w:val="000000" w:themeColor="text1"/>
          <w:sz w:val="24"/>
          <w:szCs w:val="24"/>
        </w:rPr>
        <w:t>zavazuje zejména k:</w:t>
      </w:r>
    </w:p>
    <w:p w14:paraId="06F5E06E" w14:textId="77777777" w:rsidR="00B701A6" w:rsidRPr="003E609F" w:rsidRDefault="00B701A6" w:rsidP="00B701A6">
      <w:pPr>
        <w:pStyle w:val="Odstavecseseznamem"/>
        <w:numPr>
          <w:ilvl w:val="0"/>
          <w:numId w:val="9"/>
        </w:numPr>
        <w:spacing w:after="60" w:line="240" w:lineRule="auto"/>
        <w:ind w:left="714" w:hanging="357"/>
        <w:contextualSpacing w:val="0"/>
        <w:jc w:val="both"/>
        <w:rPr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 xml:space="preserve">povinnosti </w:t>
      </w:r>
      <w:r w:rsidRPr="003E609F">
        <w:rPr>
          <w:bCs/>
          <w:sz w:val="23"/>
          <w:szCs w:val="23"/>
        </w:rPr>
        <w:t xml:space="preserve">nejméně po  dobu 5 let počínaje od data, kdy Projekt  </w:t>
      </w:r>
      <w:r>
        <w:rPr>
          <w:bCs/>
          <w:sz w:val="23"/>
          <w:szCs w:val="23"/>
        </w:rPr>
        <w:t xml:space="preserve">(v dotačním elektronickém portále) </w:t>
      </w:r>
      <w:r w:rsidRPr="003E609F">
        <w:rPr>
          <w:bCs/>
          <w:sz w:val="23"/>
          <w:szCs w:val="23"/>
        </w:rPr>
        <w:t xml:space="preserve">MS2021+ nabyde stav: </w:t>
      </w:r>
      <w:r w:rsidRPr="00BF3B0F">
        <w:rPr>
          <w:bCs/>
          <w:i/>
          <w:iCs/>
          <w:sz w:val="23"/>
          <w:szCs w:val="23"/>
        </w:rPr>
        <w:t>Projekt finančně ukončen ze strany řídicího orgánu</w:t>
      </w:r>
      <w:r w:rsidRPr="003E609F">
        <w:rPr>
          <w:bCs/>
          <w:sz w:val="23"/>
          <w:szCs w:val="23"/>
        </w:rPr>
        <w:t xml:space="preserve"> (tj. stav, kdy byla příjemci schválena závěrečná zpráva o realizaci Projektu a závěrečná žádost o platbu), nepřevede majetek nabytý z poskytnutých finančních prostředk</w:t>
      </w:r>
      <w:r>
        <w:rPr>
          <w:bCs/>
          <w:sz w:val="23"/>
          <w:szCs w:val="23"/>
        </w:rPr>
        <w:t>ů</w:t>
      </w:r>
      <w:r w:rsidRPr="003E609F">
        <w:rPr>
          <w:bCs/>
          <w:sz w:val="23"/>
          <w:szCs w:val="23"/>
        </w:rPr>
        <w:t xml:space="preserve"> do vlastnictví třetích osob, ani jej jinak nezcizí ani nepředá do úplatného u</w:t>
      </w:r>
      <w:r>
        <w:rPr>
          <w:bCs/>
          <w:sz w:val="23"/>
          <w:szCs w:val="23"/>
        </w:rPr>
        <w:t>ž</w:t>
      </w:r>
      <w:r w:rsidRPr="003E609F">
        <w:rPr>
          <w:bCs/>
          <w:sz w:val="23"/>
          <w:szCs w:val="23"/>
        </w:rPr>
        <w:t>ívání třetím osobám s výjimkou vyvolaných investic, nebo převod</w:t>
      </w:r>
      <w:r>
        <w:rPr>
          <w:bCs/>
          <w:sz w:val="23"/>
          <w:szCs w:val="23"/>
        </w:rPr>
        <w:t>ů</w:t>
      </w:r>
      <w:r w:rsidRPr="003E609F">
        <w:rPr>
          <w:bCs/>
          <w:sz w:val="23"/>
          <w:szCs w:val="23"/>
        </w:rPr>
        <w:t xml:space="preserve"> vyplývajících ze zákonných ustanovení, nebo </w:t>
      </w:r>
      <w:r>
        <w:rPr>
          <w:bCs/>
          <w:sz w:val="23"/>
          <w:szCs w:val="23"/>
        </w:rPr>
        <w:t>ž</w:t>
      </w:r>
      <w:r w:rsidRPr="003E609F">
        <w:rPr>
          <w:bCs/>
          <w:sz w:val="23"/>
          <w:szCs w:val="23"/>
        </w:rPr>
        <w:t>e o takovém nakládání s tímto majetkem rozhodne řídicí orgán. I</w:t>
      </w:r>
      <w:r>
        <w:rPr>
          <w:bCs/>
          <w:sz w:val="23"/>
          <w:szCs w:val="23"/>
        </w:rPr>
        <w:t> </w:t>
      </w:r>
      <w:r w:rsidRPr="003E609F">
        <w:rPr>
          <w:bCs/>
          <w:sz w:val="23"/>
          <w:szCs w:val="23"/>
        </w:rPr>
        <w:t>v</w:t>
      </w:r>
      <w:r>
        <w:rPr>
          <w:bCs/>
          <w:sz w:val="23"/>
          <w:szCs w:val="23"/>
        </w:rPr>
        <w:t> </w:t>
      </w:r>
      <w:r w:rsidRPr="003E609F">
        <w:rPr>
          <w:bCs/>
          <w:sz w:val="23"/>
          <w:szCs w:val="23"/>
        </w:rPr>
        <w:t>těchto případech je příjemce povinen zavázat nabyvatele tohoto majetku k zaji</w:t>
      </w:r>
      <w:r>
        <w:rPr>
          <w:bCs/>
          <w:sz w:val="23"/>
          <w:szCs w:val="23"/>
        </w:rPr>
        <w:t>š</w:t>
      </w:r>
      <w:r w:rsidRPr="003E609F">
        <w:rPr>
          <w:bCs/>
          <w:sz w:val="23"/>
          <w:szCs w:val="23"/>
        </w:rPr>
        <w:t>tění jeho udr</w:t>
      </w:r>
      <w:r>
        <w:rPr>
          <w:bCs/>
          <w:sz w:val="23"/>
          <w:szCs w:val="23"/>
        </w:rPr>
        <w:t>ž</w:t>
      </w:r>
      <w:r w:rsidRPr="003E609F">
        <w:rPr>
          <w:bCs/>
          <w:sz w:val="23"/>
          <w:szCs w:val="23"/>
        </w:rPr>
        <w:t xml:space="preserve">itelnosti ve stejném rozsahu, jak pro příjemce vyplývá z tohoto ustanovení. </w:t>
      </w:r>
      <w:r w:rsidRPr="00B775CB">
        <w:rPr>
          <w:b/>
          <w:sz w:val="23"/>
          <w:szCs w:val="23"/>
        </w:rPr>
        <w:t>Příjemce po uvedenou dobu</w:t>
      </w:r>
      <w:r w:rsidRPr="003E609F">
        <w:rPr>
          <w:bCs/>
          <w:sz w:val="23"/>
          <w:szCs w:val="23"/>
        </w:rPr>
        <w:t xml:space="preserve"> </w:t>
      </w:r>
      <w:r w:rsidRPr="002D0817">
        <w:rPr>
          <w:b/>
          <w:sz w:val="23"/>
          <w:szCs w:val="23"/>
        </w:rPr>
        <w:t xml:space="preserve">nezastaví tento majetek, ani jej </w:t>
      </w:r>
      <w:proofErr w:type="gramStart"/>
      <w:r w:rsidRPr="002D0817">
        <w:rPr>
          <w:b/>
          <w:sz w:val="23"/>
          <w:szCs w:val="23"/>
        </w:rPr>
        <w:t>nezatíží</w:t>
      </w:r>
      <w:proofErr w:type="gramEnd"/>
      <w:r w:rsidRPr="002D0817">
        <w:rPr>
          <w:b/>
          <w:sz w:val="23"/>
          <w:szCs w:val="23"/>
        </w:rPr>
        <w:t xml:space="preserve"> právy třetích osob </w:t>
      </w:r>
      <w:r w:rsidRPr="00B775CB">
        <w:rPr>
          <w:bCs/>
          <w:sz w:val="23"/>
          <w:szCs w:val="23"/>
        </w:rPr>
        <w:t>vyjma případů, kde toto zatížení vyplývá z platné právní úpravy.</w:t>
      </w:r>
      <w:r w:rsidRPr="003E609F">
        <w:rPr>
          <w:bCs/>
          <w:sz w:val="23"/>
          <w:szCs w:val="23"/>
        </w:rPr>
        <w:t xml:space="preserve"> Současně je příjemce povinen zajistit řádnou péči o tento majetek, aby majetek mohl být bezplatně u</w:t>
      </w:r>
      <w:r>
        <w:rPr>
          <w:bCs/>
          <w:sz w:val="23"/>
          <w:szCs w:val="23"/>
        </w:rPr>
        <w:t>ž</w:t>
      </w:r>
      <w:r w:rsidRPr="003E609F">
        <w:rPr>
          <w:bCs/>
          <w:sz w:val="23"/>
          <w:szCs w:val="23"/>
        </w:rPr>
        <w:t>íván k účelu, ke kterému je určen, s výjimkou těch případ</w:t>
      </w:r>
      <w:r>
        <w:rPr>
          <w:bCs/>
          <w:sz w:val="23"/>
          <w:szCs w:val="23"/>
        </w:rPr>
        <w:t>ů</w:t>
      </w:r>
      <w:r w:rsidRPr="003E609F">
        <w:rPr>
          <w:bCs/>
          <w:sz w:val="23"/>
          <w:szCs w:val="23"/>
        </w:rPr>
        <w:t>, kde mo</w:t>
      </w:r>
      <w:r>
        <w:rPr>
          <w:bCs/>
          <w:sz w:val="23"/>
          <w:szCs w:val="23"/>
        </w:rPr>
        <w:t>ž</w:t>
      </w:r>
      <w:r w:rsidRPr="003E609F">
        <w:rPr>
          <w:bCs/>
          <w:sz w:val="23"/>
          <w:szCs w:val="23"/>
        </w:rPr>
        <w:t>nost úplatného u</w:t>
      </w:r>
      <w:r>
        <w:rPr>
          <w:bCs/>
          <w:sz w:val="23"/>
          <w:szCs w:val="23"/>
        </w:rPr>
        <w:t>ž</w:t>
      </w:r>
      <w:r w:rsidRPr="003E609F">
        <w:rPr>
          <w:bCs/>
          <w:sz w:val="23"/>
          <w:szCs w:val="23"/>
        </w:rPr>
        <w:t>ívání tohoto majetku je upravena příslu</w:t>
      </w:r>
      <w:r>
        <w:rPr>
          <w:bCs/>
          <w:sz w:val="23"/>
          <w:szCs w:val="23"/>
        </w:rPr>
        <w:t>š</w:t>
      </w:r>
      <w:r w:rsidRPr="003E609F">
        <w:rPr>
          <w:bCs/>
          <w:sz w:val="23"/>
          <w:szCs w:val="23"/>
        </w:rPr>
        <w:t>ným zákonem. Příjemce m</w:t>
      </w:r>
      <w:r>
        <w:rPr>
          <w:bCs/>
          <w:sz w:val="23"/>
          <w:szCs w:val="23"/>
        </w:rPr>
        <w:t>ůž</w:t>
      </w:r>
      <w:r w:rsidRPr="003E609F">
        <w:rPr>
          <w:bCs/>
          <w:sz w:val="23"/>
          <w:szCs w:val="23"/>
        </w:rPr>
        <w:t>e tento majetek pronajmout během vý</w:t>
      </w:r>
      <w:r>
        <w:rPr>
          <w:bCs/>
          <w:sz w:val="23"/>
          <w:szCs w:val="23"/>
        </w:rPr>
        <w:t>š</w:t>
      </w:r>
      <w:r w:rsidRPr="003E609F">
        <w:rPr>
          <w:bCs/>
          <w:sz w:val="23"/>
          <w:szCs w:val="23"/>
        </w:rPr>
        <w:t>e uvedené doby udr</w:t>
      </w:r>
      <w:r>
        <w:rPr>
          <w:bCs/>
          <w:sz w:val="23"/>
          <w:szCs w:val="23"/>
        </w:rPr>
        <w:t>ž</w:t>
      </w:r>
      <w:r w:rsidRPr="003E609F">
        <w:rPr>
          <w:bCs/>
          <w:sz w:val="23"/>
          <w:szCs w:val="23"/>
        </w:rPr>
        <w:t>itelnosti Projektu pouze s předchozím písemným souhlasem řídicího orgánu</w:t>
      </w:r>
      <w:r>
        <w:rPr>
          <w:bCs/>
          <w:sz w:val="23"/>
          <w:szCs w:val="23"/>
        </w:rPr>
        <w:t>;</w:t>
      </w:r>
      <w:r w:rsidRPr="003E609F">
        <w:rPr>
          <w:bCs/>
          <w:color w:val="000000" w:themeColor="text1"/>
          <w:sz w:val="23"/>
          <w:szCs w:val="23"/>
        </w:rPr>
        <w:t xml:space="preserve"> </w:t>
      </w:r>
    </w:p>
    <w:p w14:paraId="21AF87F2" w14:textId="77777777" w:rsidR="00B701A6" w:rsidRDefault="00B701A6" w:rsidP="00B701A6">
      <w:pPr>
        <w:pStyle w:val="Odstavecseseznamem"/>
        <w:numPr>
          <w:ilvl w:val="0"/>
          <w:numId w:val="9"/>
        </w:numPr>
        <w:spacing w:after="60" w:line="240" w:lineRule="auto"/>
        <w:ind w:left="714" w:hanging="357"/>
        <w:contextualSpacing w:val="0"/>
        <w:jc w:val="both"/>
        <w:rPr>
          <w:color w:val="000000" w:themeColor="text1"/>
          <w:sz w:val="23"/>
          <w:szCs w:val="23"/>
        </w:rPr>
      </w:pPr>
      <w:r w:rsidRPr="003E609F">
        <w:rPr>
          <w:color w:val="000000" w:themeColor="text1"/>
          <w:sz w:val="23"/>
          <w:szCs w:val="23"/>
        </w:rPr>
        <w:t>ukončení realizace projektu nejpozději do 31.12.2026;</w:t>
      </w:r>
    </w:p>
    <w:p w14:paraId="65FF1A4A" w14:textId="77777777" w:rsidR="00B701A6" w:rsidRPr="002D0817" w:rsidRDefault="00B701A6" w:rsidP="00B701A6">
      <w:pPr>
        <w:pStyle w:val="Odstavecseseznamem"/>
        <w:numPr>
          <w:ilvl w:val="0"/>
          <w:numId w:val="9"/>
        </w:numPr>
        <w:spacing w:after="60" w:line="240" w:lineRule="auto"/>
        <w:ind w:left="714" w:hanging="357"/>
        <w:contextualSpacing w:val="0"/>
        <w:jc w:val="both"/>
        <w:rPr>
          <w:color w:val="000000" w:themeColor="text1"/>
          <w:sz w:val="23"/>
          <w:szCs w:val="23"/>
        </w:rPr>
      </w:pPr>
      <w:r w:rsidRPr="002D0817">
        <w:rPr>
          <w:color w:val="000000" w:themeColor="text1"/>
          <w:sz w:val="23"/>
          <w:szCs w:val="23"/>
        </w:rPr>
        <w:t>povinnosti uchovávat účetní evidenci o čerpání a užití finančních prostředků poskytnutých dle této Smlouvy průkaznou účetní evidenci s vazbou k financovanému Projektu tak, aby bylo zřejmé čerpání a užití finančních prostředků v souladu s touto Smlouvou a s účelem, ke kterému jsou poskytovány, a aby bylo možné vykázat zaúčtování účetních případů souvisejících s financováním Projektu ve vztahu ke všem zdrojům podílejícím se na financování Projektu. Příjemce musí být schopen průkazně dokladovat dle relevantních nařízení Evropské unie při následných kontrolách a auditech   všechny   účetní   operace   související s financováním Projektu z prostředků fondů Evropské unie a zajistit jednoznačné přiřazení všech účetních položek k Projektu, tj. zejména výnosů a nákladů a zařazení do evidence majetku. Při vedení účetní evidence je příjemce povinen postupovat v souladu s platnými předpisy České republiky zejména podle zákona č. 563/1991 Sb., o</w:t>
      </w:r>
      <w:r>
        <w:rPr>
          <w:color w:val="000000" w:themeColor="text1"/>
          <w:sz w:val="23"/>
          <w:szCs w:val="23"/>
        </w:rPr>
        <w:t> </w:t>
      </w:r>
      <w:r w:rsidRPr="002D0817">
        <w:rPr>
          <w:color w:val="000000" w:themeColor="text1"/>
          <w:sz w:val="23"/>
          <w:szCs w:val="23"/>
        </w:rPr>
        <w:t>účetnictví, ve znění pozdějších předpisů</w:t>
      </w:r>
      <w:r>
        <w:rPr>
          <w:color w:val="000000" w:themeColor="text1"/>
          <w:sz w:val="23"/>
          <w:szCs w:val="23"/>
        </w:rPr>
        <w:t>;</w:t>
      </w:r>
    </w:p>
    <w:p w14:paraId="06A07EC0" w14:textId="77777777" w:rsidR="00B701A6" w:rsidRPr="002D0817" w:rsidRDefault="00B701A6" w:rsidP="00B701A6">
      <w:pPr>
        <w:pStyle w:val="Odstavecseseznamem"/>
        <w:numPr>
          <w:ilvl w:val="0"/>
          <w:numId w:val="9"/>
        </w:numPr>
        <w:spacing w:after="60" w:line="300" w:lineRule="exact"/>
        <w:ind w:left="714" w:hanging="357"/>
        <w:contextualSpacing w:val="0"/>
        <w:jc w:val="both"/>
        <w:rPr>
          <w:rFonts w:eastAsia="Times New Roman" w:cs="Arial"/>
          <w:b/>
          <w:color w:val="000000" w:themeColor="text1"/>
          <w:sz w:val="23"/>
          <w:szCs w:val="23"/>
          <w:lang w:eastAsia="cs-CZ"/>
        </w:rPr>
      </w:pPr>
      <w:r w:rsidRPr="002D0817">
        <w:rPr>
          <w:color w:val="000000" w:themeColor="text1"/>
          <w:sz w:val="23"/>
          <w:szCs w:val="23"/>
        </w:rPr>
        <w:t>povinn</w:t>
      </w:r>
      <w:r>
        <w:rPr>
          <w:color w:val="000000" w:themeColor="text1"/>
          <w:sz w:val="23"/>
          <w:szCs w:val="23"/>
        </w:rPr>
        <w:t>osti</w:t>
      </w:r>
      <w:r w:rsidRPr="002D0817">
        <w:rPr>
          <w:color w:val="000000" w:themeColor="text1"/>
          <w:sz w:val="23"/>
          <w:szCs w:val="23"/>
        </w:rPr>
        <w:t xml:space="preserve"> v souvislosti s financováním realizace Projektu podrobit </w:t>
      </w:r>
      <w:r>
        <w:rPr>
          <w:color w:val="000000" w:themeColor="text1"/>
          <w:sz w:val="23"/>
          <w:szCs w:val="23"/>
        </w:rPr>
        <w:t xml:space="preserve">se </w:t>
      </w:r>
      <w:r w:rsidRPr="002D0817">
        <w:rPr>
          <w:color w:val="000000" w:themeColor="text1"/>
          <w:sz w:val="23"/>
          <w:szCs w:val="23"/>
        </w:rPr>
        <w:t xml:space="preserve">kontrolám ze strany Evropského účetního dvora, Evropské komise, Nejvyššího kontrolního úřadu, Auditního   orgánu, finančních orgánů, řídicího   orgánu a poskytovatele a dalších kontrolních orgánů dle předpisů České republiky a předpisů Evropské unie. </w:t>
      </w:r>
    </w:p>
    <w:p w14:paraId="53B25EC2" w14:textId="77777777" w:rsidR="00B701A6" w:rsidRDefault="00B701A6" w:rsidP="00713AAC">
      <w:pPr>
        <w:pStyle w:val="Zkladntext"/>
        <w:tabs>
          <w:tab w:val="left" w:pos="567"/>
          <w:tab w:val="left" w:pos="1701"/>
        </w:tabs>
        <w:spacing w:before="140" w:after="80" w:line="300" w:lineRule="exact"/>
        <w:rPr>
          <w:rFonts w:asciiTheme="minorHAnsi" w:eastAsiaTheme="minorHAnsi" w:hAnsiTheme="minorHAnsi" w:cstheme="minorBidi"/>
          <w:b/>
          <w:szCs w:val="24"/>
          <w:u w:val="single"/>
          <w:lang w:eastAsia="en-US"/>
        </w:rPr>
      </w:pPr>
    </w:p>
    <w:p w14:paraId="08CFD412" w14:textId="77777777" w:rsidR="00B701A6" w:rsidRDefault="00B701A6" w:rsidP="00713AAC">
      <w:pPr>
        <w:pStyle w:val="Zkladntext"/>
        <w:tabs>
          <w:tab w:val="left" w:pos="567"/>
          <w:tab w:val="left" w:pos="1701"/>
        </w:tabs>
        <w:spacing w:before="140" w:after="80" w:line="300" w:lineRule="exact"/>
        <w:rPr>
          <w:rFonts w:asciiTheme="minorHAnsi" w:eastAsiaTheme="minorHAnsi" w:hAnsiTheme="minorHAnsi" w:cstheme="minorBidi"/>
          <w:b/>
          <w:szCs w:val="24"/>
          <w:u w:val="single"/>
          <w:lang w:eastAsia="en-US"/>
        </w:rPr>
      </w:pPr>
    </w:p>
    <w:p w14:paraId="4AB25C89" w14:textId="22895007" w:rsidR="00713AAC" w:rsidRPr="00B775CB" w:rsidRDefault="00970CAD" w:rsidP="00713AAC">
      <w:pPr>
        <w:pStyle w:val="Zkladntext"/>
        <w:tabs>
          <w:tab w:val="left" w:pos="567"/>
          <w:tab w:val="left" w:pos="1701"/>
        </w:tabs>
        <w:spacing w:before="140" w:after="80" w:line="300" w:lineRule="exact"/>
        <w:rPr>
          <w:rFonts w:asciiTheme="minorHAnsi" w:eastAsiaTheme="minorHAnsi" w:hAnsiTheme="minorHAnsi" w:cstheme="minorBidi"/>
          <w:b/>
          <w:szCs w:val="24"/>
          <w:u w:val="single"/>
          <w:lang w:eastAsia="en-US"/>
        </w:rPr>
      </w:pPr>
      <w:r w:rsidRPr="00B775CB">
        <w:rPr>
          <w:rFonts w:asciiTheme="minorHAnsi" w:eastAsiaTheme="minorHAnsi" w:hAnsiTheme="minorHAnsi" w:cstheme="minorBidi"/>
          <w:b/>
          <w:szCs w:val="24"/>
          <w:u w:val="single"/>
          <w:lang w:eastAsia="en-US"/>
        </w:rPr>
        <w:t>Základní p</w:t>
      </w:r>
      <w:r w:rsidR="00713AAC" w:rsidRPr="00B775CB">
        <w:rPr>
          <w:rFonts w:asciiTheme="minorHAnsi" w:eastAsiaTheme="minorHAnsi" w:hAnsiTheme="minorHAnsi" w:cstheme="minorBidi"/>
          <w:b/>
          <w:szCs w:val="24"/>
          <w:u w:val="single"/>
          <w:lang w:eastAsia="en-US"/>
        </w:rPr>
        <w:t>opis projektu</w:t>
      </w:r>
    </w:p>
    <w:p w14:paraId="3794D939" w14:textId="335D6D60" w:rsidR="00713AAC" w:rsidRPr="00000F79" w:rsidRDefault="00713AAC" w:rsidP="00FB4E4D">
      <w:pPr>
        <w:autoSpaceDE w:val="0"/>
        <w:autoSpaceDN w:val="0"/>
        <w:adjustRightInd w:val="0"/>
        <w:spacing w:before="60" w:after="40"/>
        <w:ind w:left="142"/>
        <w:jc w:val="both"/>
        <w:rPr>
          <w:rFonts w:cs="Arial"/>
          <w:sz w:val="24"/>
          <w:szCs w:val="24"/>
        </w:rPr>
      </w:pPr>
      <w:r w:rsidRPr="000A4738">
        <w:rPr>
          <w:rFonts w:cs="Arial"/>
          <w:sz w:val="24"/>
          <w:szCs w:val="24"/>
        </w:rPr>
        <w:t>Podstatou projektu je modernizace a vybudování nových součástí a prvků dopravního telematického systému</w:t>
      </w:r>
      <w:r>
        <w:rPr>
          <w:rFonts w:cs="Arial"/>
          <w:sz w:val="24"/>
          <w:szCs w:val="24"/>
        </w:rPr>
        <w:t xml:space="preserve"> za</w:t>
      </w:r>
      <w:r w:rsidRPr="000A4738">
        <w:rPr>
          <w:rFonts w:cs="Arial"/>
          <w:sz w:val="24"/>
          <w:szCs w:val="24"/>
        </w:rPr>
        <w:t xml:space="preserve"> účel</w:t>
      </w:r>
      <w:r>
        <w:rPr>
          <w:rFonts w:cs="Arial"/>
          <w:sz w:val="24"/>
          <w:szCs w:val="24"/>
        </w:rPr>
        <w:t>em</w:t>
      </w:r>
      <w:r w:rsidRPr="000A4738">
        <w:rPr>
          <w:rFonts w:cs="Arial"/>
          <w:sz w:val="24"/>
          <w:szCs w:val="24"/>
        </w:rPr>
        <w:t xml:space="preserve"> zajištění moderního řízení dopravy, zvýšení kapacity dopravní sítě</w:t>
      </w:r>
      <w:r>
        <w:rPr>
          <w:rFonts w:cs="Arial"/>
          <w:sz w:val="24"/>
          <w:szCs w:val="24"/>
        </w:rPr>
        <w:t xml:space="preserve"> a</w:t>
      </w:r>
      <w:r w:rsidRPr="000A4738">
        <w:rPr>
          <w:rFonts w:cs="Arial"/>
          <w:sz w:val="24"/>
          <w:szCs w:val="24"/>
        </w:rPr>
        <w:t xml:space="preserve"> její plynulosti</w:t>
      </w:r>
      <w:r>
        <w:rPr>
          <w:rFonts w:cs="Arial"/>
          <w:sz w:val="24"/>
          <w:szCs w:val="24"/>
        </w:rPr>
        <w:t xml:space="preserve"> (např. na hlavních </w:t>
      </w:r>
      <w:r w:rsidR="001C0C3D">
        <w:rPr>
          <w:rFonts w:cs="Arial"/>
          <w:sz w:val="24"/>
          <w:szCs w:val="24"/>
        </w:rPr>
        <w:t xml:space="preserve">dopravních </w:t>
      </w:r>
      <w:r>
        <w:rPr>
          <w:rFonts w:cs="Arial"/>
          <w:sz w:val="24"/>
          <w:szCs w:val="24"/>
        </w:rPr>
        <w:t>tazích města)</w:t>
      </w:r>
      <w:r w:rsidRPr="000A473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000F79">
        <w:rPr>
          <w:rFonts w:cs="Arial"/>
          <w:sz w:val="24"/>
          <w:szCs w:val="24"/>
        </w:rPr>
        <w:t xml:space="preserve">Projekt se skládá z následujících hlavních subsystémů: </w:t>
      </w:r>
    </w:p>
    <w:p w14:paraId="645E374C" w14:textId="55B397BD" w:rsidR="00713AAC" w:rsidRDefault="00713AAC" w:rsidP="00FB4E4D">
      <w:pPr>
        <w:autoSpaceDE w:val="0"/>
        <w:autoSpaceDN w:val="0"/>
        <w:adjustRightInd w:val="0"/>
        <w:spacing w:after="0"/>
        <w:ind w:left="142"/>
        <w:contextualSpacing/>
        <w:jc w:val="both"/>
        <w:rPr>
          <w:rFonts w:cs="Arial"/>
          <w:sz w:val="24"/>
          <w:szCs w:val="24"/>
        </w:rPr>
      </w:pPr>
      <w:r w:rsidRPr="00000F79">
        <w:rPr>
          <w:rFonts w:cs="Arial"/>
          <w:sz w:val="24"/>
          <w:szCs w:val="24"/>
        </w:rPr>
        <w:t xml:space="preserve">a) </w:t>
      </w:r>
      <w:r w:rsidRPr="00A8564B">
        <w:rPr>
          <w:rFonts w:cs="Arial"/>
          <w:b/>
          <w:bCs/>
          <w:sz w:val="24"/>
          <w:szCs w:val="24"/>
        </w:rPr>
        <w:t>Dopravn</w:t>
      </w:r>
      <w:r>
        <w:rPr>
          <w:rFonts w:cs="Arial"/>
          <w:b/>
          <w:bCs/>
          <w:sz w:val="24"/>
          <w:szCs w:val="24"/>
        </w:rPr>
        <w:t>í</w:t>
      </w:r>
      <w:r w:rsidRPr="00A8564B">
        <w:rPr>
          <w:rFonts w:cs="Arial"/>
          <w:b/>
          <w:bCs/>
          <w:sz w:val="24"/>
          <w:szCs w:val="24"/>
        </w:rPr>
        <w:t xml:space="preserve"> centrum</w:t>
      </w:r>
      <w:r w:rsidRPr="00000F79">
        <w:rPr>
          <w:rFonts w:cs="Arial"/>
          <w:sz w:val="24"/>
          <w:szCs w:val="24"/>
        </w:rPr>
        <w:t xml:space="preserve"> </w:t>
      </w:r>
      <w:r w:rsidR="00267127">
        <w:rPr>
          <w:rFonts w:cs="Arial"/>
          <w:sz w:val="24"/>
          <w:szCs w:val="24"/>
        </w:rPr>
        <w:t xml:space="preserve">(v </w:t>
      </w:r>
      <w:r w:rsidR="00B775CB">
        <w:rPr>
          <w:rFonts w:cs="Arial"/>
          <w:sz w:val="24"/>
          <w:szCs w:val="24"/>
        </w:rPr>
        <w:t xml:space="preserve">lokalitě </w:t>
      </w:r>
      <w:r w:rsidR="00267127">
        <w:rPr>
          <w:rFonts w:cs="Arial"/>
          <w:sz w:val="24"/>
          <w:szCs w:val="24"/>
        </w:rPr>
        <w:t xml:space="preserve">areálu městské společnosti </w:t>
      </w:r>
      <w:r w:rsidR="00267127" w:rsidRPr="00267127">
        <w:rPr>
          <w:rFonts w:cs="Arial"/>
          <w:i/>
          <w:iCs/>
          <w:sz w:val="24"/>
          <w:szCs w:val="24"/>
        </w:rPr>
        <w:t xml:space="preserve">Ostravské komunikace </w:t>
      </w:r>
      <w:r w:rsidR="00267127">
        <w:rPr>
          <w:rFonts w:cs="Arial"/>
          <w:sz w:val="24"/>
          <w:szCs w:val="24"/>
        </w:rPr>
        <w:t>a.</w:t>
      </w:r>
      <w:r w:rsidR="00B775CB" w:rsidRPr="00B775CB">
        <w:rPr>
          <w:rFonts w:cs="Arial"/>
          <w:sz w:val="12"/>
          <w:szCs w:val="12"/>
        </w:rPr>
        <w:t> </w:t>
      </w:r>
      <w:r w:rsidR="00267127">
        <w:rPr>
          <w:rFonts w:cs="Arial"/>
          <w:sz w:val="24"/>
          <w:szCs w:val="24"/>
        </w:rPr>
        <w:t xml:space="preserve">s.) sloužící </w:t>
      </w:r>
      <w:r>
        <w:rPr>
          <w:rFonts w:cs="Arial"/>
          <w:sz w:val="24"/>
          <w:szCs w:val="24"/>
        </w:rPr>
        <w:t xml:space="preserve">pro </w:t>
      </w:r>
      <w:r w:rsidRPr="00A8564B">
        <w:rPr>
          <w:rFonts w:cs="Arial"/>
          <w:sz w:val="24"/>
          <w:szCs w:val="24"/>
        </w:rPr>
        <w:t xml:space="preserve">sběr dat týkajících se </w:t>
      </w:r>
      <w:r w:rsidR="00B775CB">
        <w:rPr>
          <w:rFonts w:cs="Arial"/>
          <w:sz w:val="24"/>
          <w:szCs w:val="24"/>
        </w:rPr>
        <w:t>(</w:t>
      </w:r>
      <w:r w:rsidR="00267127">
        <w:rPr>
          <w:rFonts w:cs="Arial"/>
          <w:sz w:val="24"/>
          <w:szCs w:val="24"/>
        </w:rPr>
        <w:t>dynamických</w:t>
      </w:r>
      <w:r w:rsidR="00B775CB">
        <w:rPr>
          <w:rFonts w:cs="Arial"/>
          <w:sz w:val="24"/>
          <w:szCs w:val="24"/>
        </w:rPr>
        <w:t>)</w:t>
      </w:r>
      <w:r w:rsidR="00267127">
        <w:rPr>
          <w:rFonts w:cs="Arial"/>
          <w:sz w:val="24"/>
          <w:szCs w:val="24"/>
        </w:rPr>
        <w:t xml:space="preserve"> </w:t>
      </w:r>
      <w:r w:rsidRPr="00A8564B">
        <w:rPr>
          <w:rFonts w:cs="Arial"/>
          <w:sz w:val="24"/>
          <w:szCs w:val="24"/>
        </w:rPr>
        <w:t>doprav</w:t>
      </w:r>
      <w:r w:rsidR="00267127">
        <w:rPr>
          <w:rFonts w:cs="Arial"/>
          <w:sz w:val="24"/>
          <w:szCs w:val="24"/>
        </w:rPr>
        <w:t>ních situací</w:t>
      </w:r>
      <w:r w:rsidRPr="00A8564B">
        <w:rPr>
          <w:rFonts w:cs="Arial"/>
          <w:sz w:val="24"/>
          <w:szCs w:val="24"/>
        </w:rPr>
        <w:t>, jejich zpracování, vyhodnocení</w:t>
      </w:r>
      <w:r w:rsidR="00B775CB">
        <w:rPr>
          <w:rFonts w:cs="Arial"/>
          <w:sz w:val="24"/>
          <w:szCs w:val="24"/>
        </w:rPr>
        <w:t>,</w:t>
      </w:r>
      <w:r w:rsidRPr="00A8564B">
        <w:rPr>
          <w:rFonts w:cs="Arial"/>
          <w:sz w:val="24"/>
          <w:szCs w:val="24"/>
        </w:rPr>
        <w:t xml:space="preserve"> archivace, </w:t>
      </w:r>
      <w:r w:rsidR="00267127">
        <w:rPr>
          <w:rFonts w:cs="Arial"/>
          <w:sz w:val="24"/>
          <w:szCs w:val="24"/>
        </w:rPr>
        <w:t xml:space="preserve">zahrnující </w:t>
      </w:r>
      <w:r w:rsidRPr="00A8564B">
        <w:rPr>
          <w:rFonts w:cs="Arial"/>
          <w:sz w:val="24"/>
          <w:szCs w:val="24"/>
        </w:rPr>
        <w:t xml:space="preserve">provozování dispečerského pracoviště </w:t>
      </w:r>
      <w:r w:rsidR="00267127">
        <w:rPr>
          <w:rFonts w:cs="Arial"/>
          <w:sz w:val="24"/>
          <w:szCs w:val="24"/>
        </w:rPr>
        <w:t>s možnostmi řízení</w:t>
      </w:r>
      <w:r w:rsidRPr="00A8564B">
        <w:rPr>
          <w:rFonts w:cs="Arial"/>
          <w:sz w:val="24"/>
          <w:szCs w:val="24"/>
        </w:rPr>
        <w:t xml:space="preserve"> </w:t>
      </w:r>
      <w:r w:rsidR="00267127">
        <w:rPr>
          <w:rFonts w:cs="Arial"/>
          <w:sz w:val="24"/>
          <w:szCs w:val="24"/>
        </w:rPr>
        <w:t xml:space="preserve">některých dopravních </w:t>
      </w:r>
      <w:r w:rsidRPr="00A8564B">
        <w:rPr>
          <w:rFonts w:cs="Arial"/>
          <w:sz w:val="24"/>
          <w:szCs w:val="24"/>
        </w:rPr>
        <w:t xml:space="preserve">procesů </w:t>
      </w:r>
      <w:r w:rsidR="00267127">
        <w:rPr>
          <w:rFonts w:cs="Arial"/>
          <w:sz w:val="24"/>
          <w:szCs w:val="24"/>
        </w:rPr>
        <w:t xml:space="preserve">(vč. nenadálých situací) </w:t>
      </w:r>
      <w:r w:rsidRPr="00A8564B">
        <w:rPr>
          <w:rFonts w:cs="Arial"/>
          <w:sz w:val="24"/>
          <w:szCs w:val="24"/>
        </w:rPr>
        <w:t>na centrální úrovni města</w:t>
      </w:r>
      <w:r>
        <w:rPr>
          <w:rFonts w:cs="Arial"/>
          <w:sz w:val="24"/>
          <w:szCs w:val="24"/>
        </w:rPr>
        <w:t>,</w:t>
      </w:r>
      <w:r w:rsidRPr="00A8564B">
        <w:rPr>
          <w:rFonts w:cs="Arial"/>
          <w:sz w:val="24"/>
          <w:szCs w:val="24"/>
        </w:rPr>
        <w:t xml:space="preserve"> </w:t>
      </w:r>
      <w:r w:rsidR="00267127">
        <w:rPr>
          <w:rFonts w:cs="Arial"/>
          <w:sz w:val="24"/>
          <w:szCs w:val="24"/>
        </w:rPr>
        <w:t xml:space="preserve">umožňující určitý </w:t>
      </w:r>
      <w:r w:rsidRPr="00A8564B">
        <w:rPr>
          <w:rFonts w:cs="Arial"/>
          <w:sz w:val="24"/>
          <w:szCs w:val="24"/>
        </w:rPr>
        <w:t>dohled nad technickým stavem telematických zařízení na území města</w:t>
      </w:r>
      <w:r>
        <w:rPr>
          <w:rFonts w:cs="Arial"/>
          <w:sz w:val="24"/>
          <w:szCs w:val="24"/>
        </w:rPr>
        <w:t xml:space="preserve">, </w:t>
      </w:r>
    </w:p>
    <w:p w14:paraId="0D7C456A" w14:textId="5CCE982E" w:rsidR="00713AAC" w:rsidRPr="00000F79" w:rsidRDefault="00713AAC" w:rsidP="00FB4E4D">
      <w:pPr>
        <w:autoSpaceDE w:val="0"/>
        <w:autoSpaceDN w:val="0"/>
        <w:adjustRightInd w:val="0"/>
        <w:spacing w:after="0"/>
        <w:ind w:left="142"/>
        <w:contextualSpacing/>
        <w:jc w:val="both"/>
        <w:rPr>
          <w:rFonts w:cs="Arial"/>
          <w:sz w:val="24"/>
          <w:szCs w:val="24"/>
        </w:rPr>
      </w:pPr>
      <w:r w:rsidRPr="00000F79">
        <w:rPr>
          <w:rFonts w:cs="Arial"/>
          <w:sz w:val="24"/>
          <w:szCs w:val="24"/>
        </w:rPr>
        <w:t xml:space="preserve">b) </w:t>
      </w:r>
      <w:r w:rsidRPr="00A8564B">
        <w:rPr>
          <w:rFonts w:cs="Arial"/>
          <w:b/>
          <w:bCs/>
          <w:sz w:val="24"/>
          <w:szCs w:val="24"/>
        </w:rPr>
        <w:t>Dopravní řídící ústředna</w:t>
      </w:r>
      <w:r w:rsidRPr="00000F79">
        <w:rPr>
          <w:rFonts w:cs="Arial"/>
          <w:sz w:val="24"/>
          <w:szCs w:val="24"/>
        </w:rPr>
        <w:t xml:space="preserve"> </w:t>
      </w:r>
      <w:r w:rsidR="001C0C3D">
        <w:rPr>
          <w:rFonts w:cs="Arial"/>
          <w:sz w:val="24"/>
          <w:szCs w:val="24"/>
        </w:rPr>
        <w:t xml:space="preserve">– nová ústředna bude sloužit k </w:t>
      </w:r>
      <w:r w:rsidR="001C0C3D" w:rsidRPr="00FB4E4D">
        <w:rPr>
          <w:rFonts w:cs="Arial"/>
          <w:sz w:val="24"/>
          <w:szCs w:val="24"/>
        </w:rPr>
        <w:t>monitorování stavu světelných signalizačních zařízení</w:t>
      </w:r>
      <w:r w:rsidR="00267127">
        <w:rPr>
          <w:rFonts w:cs="Arial"/>
          <w:sz w:val="24"/>
          <w:szCs w:val="24"/>
        </w:rPr>
        <w:t>,</w:t>
      </w:r>
      <w:r w:rsidR="001C0C3D" w:rsidRPr="00FB4E4D">
        <w:rPr>
          <w:rFonts w:cs="Arial"/>
          <w:sz w:val="24"/>
          <w:szCs w:val="24"/>
        </w:rPr>
        <w:t xml:space="preserve"> získávání a distribuci dopravních dat</w:t>
      </w:r>
      <w:r w:rsidR="00FB4E4D">
        <w:rPr>
          <w:rFonts w:cs="Arial"/>
          <w:sz w:val="24"/>
          <w:szCs w:val="24"/>
        </w:rPr>
        <w:t>,</w:t>
      </w:r>
    </w:p>
    <w:p w14:paraId="77F84A8A" w14:textId="3D4A5C13" w:rsidR="001C0C3D" w:rsidRDefault="00713AAC" w:rsidP="00FB4E4D">
      <w:pPr>
        <w:spacing w:after="0"/>
        <w:ind w:left="284" w:hanging="142"/>
        <w:contextualSpacing/>
        <w:jc w:val="both"/>
      </w:pPr>
      <w:r w:rsidRPr="00000F79">
        <w:rPr>
          <w:rFonts w:cs="Arial"/>
          <w:sz w:val="24"/>
          <w:szCs w:val="24"/>
        </w:rPr>
        <w:t xml:space="preserve">c) </w:t>
      </w:r>
      <w:r w:rsidRPr="00A8564B">
        <w:rPr>
          <w:rFonts w:cs="Arial"/>
          <w:b/>
          <w:bCs/>
          <w:sz w:val="24"/>
          <w:szCs w:val="24"/>
        </w:rPr>
        <w:t>Modernizace řadičů křižovatek/ přechodů se světelným signalizačním zařízením</w:t>
      </w:r>
      <w:r w:rsidRPr="00000F79">
        <w:rPr>
          <w:rFonts w:cs="Arial"/>
          <w:sz w:val="24"/>
          <w:szCs w:val="24"/>
        </w:rPr>
        <w:t xml:space="preserve"> </w:t>
      </w:r>
      <w:r w:rsidR="001C0C3D" w:rsidRPr="001C0C3D">
        <w:rPr>
          <w:rFonts w:cs="Arial"/>
          <w:sz w:val="24"/>
          <w:szCs w:val="24"/>
        </w:rPr>
        <w:t xml:space="preserve">zahrnující výměnu technologicky zastarávajících řadičů SSZ na 33 </w:t>
      </w:r>
      <w:r w:rsidR="00267127">
        <w:rPr>
          <w:rFonts w:cs="Arial"/>
          <w:sz w:val="24"/>
          <w:szCs w:val="24"/>
        </w:rPr>
        <w:t xml:space="preserve">expertně </w:t>
      </w:r>
      <w:r w:rsidR="001C0C3D" w:rsidRPr="001C0C3D">
        <w:rPr>
          <w:rFonts w:cs="Arial"/>
          <w:sz w:val="24"/>
          <w:szCs w:val="24"/>
        </w:rPr>
        <w:t>vybraných lokalitách na území města Ostravy</w:t>
      </w:r>
      <w:r w:rsidR="00FB4E4D">
        <w:rPr>
          <w:rFonts w:ascii="Segoe UI" w:hAnsi="Segoe UI" w:cs="Segoe UI"/>
          <w:sz w:val="23"/>
          <w:szCs w:val="23"/>
        </w:rPr>
        <w:t>,</w:t>
      </w:r>
    </w:p>
    <w:p w14:paraId="046C5541" w14:textId="2E05894C" w:rsidR="00713AAC" w:rsidRPr="00000F79" w:rsidRDefault="00713AAC" w:rsidP="00B775CB">
      <w:pPr>
        <w:autoSpaceDE w:val="0"/>
        <w:autoSpaceDN w:val="0"/>
        <w:adjustRightInd w:val="0"/>
        <w:spacing w:after="0"/>
        <w:ind w:left="284" w:hanging="142"/>
        <w:contextualSpacing/>
        <w:jc w:val="both"/>
        <w:rPr>
          <w:rFonts w:cs="Arial"/>
          <w:sz w:val="24"/>
          <w:szCs w:val="24"/>
        </w:rPr>
      </w:pPr>
      <w:r w:rsidRPr="00000F79">
        <w:rPr>
          <w:rFonts w:cs="Arial"/>
          <w:sz w:val="24"/>
          <w:szCs w:val="24"/>
        </w:rPr>
        <w:t xml:space="preserve">d) </w:t>
      </w:r>
      <w:r w:rsidRPr="00A8564B">
        <w:rPr>
          <w:rFonts w:cs="Arial"/>
          <w:b/>
          <w:bCs/>
          <w:sz w:val="24"/>
          <w:szCs w:val="24"/>
        </w:rPr>
        <w:t>Instalace strategických detektorů</w:t>
      </w:r>
      <w:r w:rsidRPr="00000F79">
        <w:rPr>
          <w:rFonts w:cs="Arial"/>
          <w:sz w:val="24"/>
          <w:szCs w:val="24"/>
        </w:rPr>
        <w:t xml:space="preserve"> (na </w:t>
      </w:r>
      <w:r>
        <w:rPr>
          <w:rFonts w:cs="Arial"/>
          <w:sz w:val="24"/>
          <w:szCs w:val="24"/>
        </w:rPr>
        <w:t xml:space="preserve">vybraných </w:t>
      </w:r>
      <w:r w:rsidRPr="00000F79">
        <w:rPr>
          <w:rFonts w:cs="Arial"/>
          <w:sz w:val="24"/>
          <w:szCs w:val="24"/>
        </w:rPr>
        <w:t>profilech městské komunikační sítě)</w:t>
      </w:r>
      <w:r w:rsidR="00267127">
        <w:rPr>
          <w:rFonts w:cs="Arial"/>
          <w:sz w:val="24"/>
          <w:szCs w:val="24"/>
        </w:rPr>
        <w:t xml:space="preserve">, </w:t>
      </w:r>
      <w:r w:rsidR="00267127" w:rsidRPr="00267127">
        <w:rPr>
          <w:rFonts w:cs="Arial"/>
          <w:sz w:val="24"/>
          <w:szCs w:val="24"/>
        </w:rPr>
        <w:t>pro kontinuální sběr dopravních dat k intenzitě dopravních toků projíždějících vozidel s</w:t>
      </w:r>
      <w:r w:rsidR="00D56460">
        <w:rPr>
          <w:rFonts w:cs="Arial"/>
          <w:sz w:val="24"/>
          <w:szCs w:val="24"/>
        </w:rPr>
        <w:t> </w:t>
      </w:r>
      <w:r w:rsidR="00267127" w:rsidRPr="00267127">
        <w:rPr>
          <w:rFonts w:cs="Arial"/>
          <w:sz w:val="24"/>
          <w:szCs w:val="24"/>
        </w:rPr>
        <w:t xml:space="preserve">datovým napojením na </w:t>
      </w:r>
      <w:r w:rsidR="00267127">
        <w:rPr>
          <w:rFonts w:cs="Arial"/>
          <w:sz w:val="24"/>
          <w:szCs w:val="24"/>
        </w:rPr>
        <w:t>Dopravní centrum.</w:t>
      </w:r>
    </w:p>
    <w:p w14:paraId="280BF42A" w14:textId="500FF5CF" w:rsidR="00713AAC" w:rsidRPr="00A8564B" w:rsidRDefault="00713AAC" w:rsidP="00B775CB">
      <w:pPr>
        <w:pStyle w:val="Zkladntext"/>
        <w:tabs>
          <w:tab w:val="left" w:pos="567"/>
          <w:tab w:val="left" w:pos="1701"/>
        </w:tabs>
        <w:spacing w:before="100" w:line="278" w:lineRule="auto"/>
        <w:ind w:left="142"/>
        <w:contextualSpacing/>
        <w:rPr>
          <w:rFonts w:asciiTheme="minorHAnsi" w:hAnsiTheme="minorHAnsi" w:cs="Arial"/>
          <w:bCs/>
          <w:color w:val="FF0000"/>
          <w:szCs w:val="24"/>
        </w:rPr>
      </w:pPr>
      <w:r w:rsidRPr="00A8564B">
        <w:rPr>
          <w:rFonts w:asciiTheme="minorHAnsi" w:hAnsiTheme="minorHAnsi" w:cs="Arial"/>
          <w:bCs/>
          <w:szCs w:val="24"/>
        </w:rPr>
        <w:t>Financování realizační části projektu bylo nárokováno odborem dopravy MMO v rámci požadavků na kapitálový rozpočet SMO</w:t>
      </w:r>
      <w:r w:rsidRPr="00A8564B">
        <w:rPr>
          <w:rFonts w:asciiTheme="minorHAnsi" w:hAnsiTheme="minorHAnsi" w:cs="Arial"/>
          <w:bCs/>
          <w:color w:val="000000" w:themeColor="text1"/>
          <w:szCs w:val="24"/>
        </w:rPr>
        <w:t>.</w:t>
      </w:r>
    </w:p>
    <w:p w14:paraId="240629EE" w14:textId="77777777" w:rsidR="001C0C3D" w:rsidRDefault="001C0C3D" w:rsidP="00713AAC">
      <w:pPr>
        <w:spacing w:before="100" w:after="100" w:line="240" w:lineRule="auto"/>
        <w:rPr>
          <w:b/>
          <w:sz w:val="23"/>
          <w:szCs w:val="23"/>
          <w:u w:val="single"/>
        </w:rPr>
      </w:pPr>
    </w:p>
    <w:p w14:paraId="6DA2B610" w14:textId="10B1ED77" w:rsidR="000831E4" w:rsidRPr="00B775CB" w:rsidRDefault="000831E4" w:rsidP="00713AAC">
      <w:pPr>
        <w:spacing w:before="100" w:after="100" w:line="240" w:lineRule="auto"/>
        <w:rPr>
          <w:b/>
          <w:spacing w:val="-10"/>
          <w:sz w:val="24"/>
          <w:szCs w:val="24"/>
          <w:u w:val="single"/>
        </w:rPr>
      </w:pPr>
      <w:r w:rsidRPr="00B775CB">
        <w:rPr>
          <w:b/>
          <w:sz w:val="24"/>
          <w:szCs w:val="24"/>
          <w:u w:val="single"/>
        </w:rPr>
        <w:t>Základní přehled financování projektu</w:t>
      </w:r>
      <w:r w:rsidR="009B7479" w:rsidRPr="00B775CB">
        <w:rPr>
          <w:b/>
          <w:sz w:val="24"/>
          <w:szCs w:val="24"/>
          <w:u w:val="single"/>
        </w:rPr>
        <w:t xml:space="preserve"> (tis. Kč, vč. DPH)</w:t>
      </w:r>
    </w:p>
    <w:tbl>
      <w:tblPr>
        <w:tblStyle w:val="Mkatabul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7"/>
        <w:gridCol w:w="2305"/>
      </w:tblGrid>
      <w:tr w:rsidR="000831E4" w14:paraId="4D5A1D96" w14:textId="77777777" w:rsidTr="008C2F97">
        <w:trPr>
          <w:trHeight w:hRule="exact" w:val="567"/>
        </w:trPr>
        <w:tc>
          <w:tcPr>
            <w:tcW w:w="6757" w:type="dxa"/>
            <w:shd w:val="clear" w:color="auto" w:fill="auto"/>
            <w:vAlign w:val="center"/>
          </w:tcPr>
          <w:p w14:paraId="162F769B" w14:textId="77777777" w:rsidR="000831E4" w:rsidRPr="00B76C58" w:rsidRDefault="000831E4" w:rsidP="00733D2D">
            <w:pPr>
              <w:rPr>
                <w:shd w:val="clear" w:color="auto" w:fill="D9D9D9" w:themeFill="background1" w:themeFillShade="D9"/>
              </w:rPr>
            </w:pPr>
            <w:r w:rsidRPr="00B76C58">
              <w:rPr>
                <w:rFonts w:cs="Arial"/>
                <w:color w:val="000000"/>
              </w:rPr>
              <w:t xml:space="preserve">Předpokládané celkové </w:t>
            </w:r>
            <w:r w:rsidR="009B7479">
              <w:rPr>
                <w:rFonts w:cs="Arial"/>
                <w:color w:val="000000"/>
              </w:rPr>
              <w:t>výdaje</w:t>
            </w:r>
            <w:r w:rsidRPr="00B76C58">
              <w:rPr>
                <w:rFonts w:cs="Arial"/>
                <w:color w:val="000000"/>
              </w:rPr>
              <w:t xml:space="preserve"> projektu</w:t>
            </w:r>
            <w:r w:rsidRPr="00B76C58">
              <w:rPr>
                <w:rFonts w:cs="Arial"/>
                <w:color w:val="000000"/>
              </w:rPr>
              <w:tab/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5E5D646" w14:textId="6775DBBE" w:rsidR="000831E4" w:rsidRPr="00B30578" w:rsidRDefault="008B6251" w:rsidP="00733D2D">
            <w:pPr>
              <w:ind w:right="170"/>
              <w:jc w:val="right"/>
              <w:rPr>
                <w:color w:val="000000" w:themeColor="text1"/>
                <w:shd w:val="clear" w:color="auto" w:fill="D9D9D9" w:themeFill="background1" w:themeFillShade="D9"/>
              </w:rPr>
            </w:pPr>
            <w:r>
              <w:rPr>
                <w:rFonts w:cs="Arial"/>
                <w:color w:val="000000" w:themeColor="text1"/>
              </w:rPr>
              <w:t>248</w:t>
            </w:r>
            <w:r w:rsidR="008C2F97" w:rsidRPr="00B30578">
              <w:rPr>
                <w:rFonts w:cs="Arial"/>
                <w:color w:val="000000" w:themeColor="text1"/>
              </w:rPr>
              <w:t> </w:t>
            </w:r>
            <w:r>
              <w:rPr>
                <w:rFonts w:cs="Arial"/>
                <w:color w:val="000000" w:themeColor="text1"/>
              </w:rPr>
              <w:t>993</w:t>
            </w:r>
            <w:r w:rsidR="008C2F97" w:rsidRPr="00B30578">
              <w:rPr>
                <w:rFonts w:cs="Arial"/>
                <w:color w:val="000000" w:themeColor="text1"/>
              </w:rPr>
              <w:t>,5</w:t>
            </w:r>
            <w:r>
              <w:rPr>
                <w:rFonts w:cs="Arial"/>
                <w:color w:val="000000" w:themeColor="text1"/>
              </w:rPr>
              <w:t>6</w:t>
            </w:r>
            <w:r w:rsidR="008C2F97" w:rsidRPr="00B30578">
              <w:rPr>
                <w:rFonts w:cs="Arial"/>
                <w:color w:val="000000" w:themeColor="text1"/>
              </w:rPr>
              <w:t xml:space="preserve"> t</w:t>
            </w:r>
            <w:r w:rsidR="009B7479" w:rsidRPr="00B30578">
              <w:rPr>
                <w:rFonts w:cs="Arial"/>
                <w:color w:val="000000" w:themeColor="text1"/>
              </w:rPr>
              <w:t>is.</w:t>
            </w:r>
            <w:r w:rsidR="000831E4" w:rsidRPr="00B30578">
              <w:rPr>
                <w:rFonts w:cs="Arial"/>
                <w:color w:val="000000" w:themeColor="text1"/>
              </w:rPr>
              <w:t xml:space="preserve"> Kč</w:t>
            </w:r>
          </w:p>
        </w:tc>
      </w:tr>
      <w:tr w:rsidR="000831E4" w14:paraId="6B835474" w14:textId="77777777" w:rsidTr="008C2F97">
        <w:trPr>
          <w:trHeight w:hRule="exact" w:val="567"/>
        </w:trPr>
        <w:tc>
          <w:tcPr>
            <w:tcW w:w="6757" w:type="dxa"/>
            <w:vAlign w:val="center"/>
          </w:tcPr>
          <w:p w14:paraId="152DDB63" w14:textId="77777777" w:rsidR="000831E4" w:rsidRDefault="000831E4" w:rsidP="00733D2D">
            <w:pPr>
              <w:rPr>
                <w:shd w:val="clear" w:color="auto" w:fill="D9D9D9" w:themeFill="background1" w:themeFillShade="D9"/>
              </w:rPr>
            </w:pPr>
            <w:r w:rsidRPr="00227794">
              <w:rPr>
                <w:rFonts w:cs="Arial"/>
                <w:b/>
                <w:color w:val="000000"/>
              </w:rPr>
              <w:t>Předpokládané způsobilé výdaje projektu</w:t>
            </w:r>
            <w:r>
              <w:rPr>
                <w:rFonts w:cs="Arial"/>
                <w:color w:val="000000"/>
              </w:rPr>
              <w:t xml:space="preserve"> </w:t>
            </w:r>
            <w:r w:rsidRPr="002E2FB1">
              <w:rPr>
                <w:rFonts w:cs="Arial"/>
                <w:i/>
                <w:color w:val="000000"/>
              </w:rPr>
              <w:t>(z</w:t>
            </w:r>
            <w:r>
              <w:rPr>
                <w:rFonts w:cs="Arial"/>
                <w:i/>
                <w:color w:val="000000"/>
              </w:rPr>
              <w:t>e</w:t>
            </w:r>
            <w:r w:rsidRPr="002E2FB1">
              <w:rPr>
                <w:rFonts w:cs="Arial"/>
                <w:i/>
                <w:color w:val="000000"/>
              </w:rPr>
              <w:t>j</w:t>
            </w:r>
            <w:r>
              <w:rPr>
                <w:rFonts w:cs="Arial"/>
                <w:i/>
                <w:color w:val="000000"/>
              </w:rPr>
              <w:t>m</w:t>
            </w:r>
            <w:r w:rsidRPr="002E2FB1">
              <w:rPr>
                <w:rFonts w:cs="Arial"/>
                <w:i/>
                <w:color w:val="000000"/>
              </w:rPr>
              <w:t>.</w:t>
            </w:r>
            <w:r>
              <w:rPr>
                <w:rFonts w:cs="Arial"/>
                <w:i/>
                <w:color w:val="000000"/>
              </w:rPr>
              <w:t xml:space="preserve"> dodávka infrastruktury, vybavení a telematických technologií)</w:t>
            </w:r>
            <w:r w:rsidR="00AC0A60">
              <w:rPr>
                <w:rFonts w:cs="Arial"/>
                <w:i/>
                <w:color w:val="000000"/>
              </w:rPr>
              <w:t xml:space="preserve"> - </w:t>
            </w:r>
            <w:r w:rsidR="00AC0A60" w:rsidRPr="00AC0A60">
              <w:rPr>
                <w:rFonts w:ascii="Calibri Light" w:hAnsi="Calibri Light" w:cs="Arial"/>
                <w:i/>
                <w:color w:val="000000"/>
                <w:sz w:val="21"/>
                <w:szCs w:val="21"/>
              </w:rPr>
              <w:t>před ukončením VZ</w:t>
            </w:r>
          </w:p>
        </w:tc>
        <w:tc>
          <w:tcPr>
            <w:tcW w:w="2305" w:type="dxa"/>
            <w:vAlign w:val="center"/>
          </w:tcPr>
          <w:p w14:paraId="1B461AEA" w14:textId="27527147" w:rsidR="000831E4" w:rsidRPr="00B30578" w:rsidRDefault="008C2F97" w:rsidP="00733D2D">
            <w:pPr>
              <w:ind w:right="170"/>
              <w:jc w:val="right"/>
              <w:rPr>
                <w:color w:val="000000" w:themeColor="text1"/>
                <w:shd w:val="clear" w:color="auto" w:fill="D9D9D9" w:themeFill="background1" w:themeFillShade="D9"/>
              </w:rPr>
            </w:pPr>
            <w:r w:rsidRPr="00B30578">
              <w:rPr>
                <w:rFonts w:cs="Arial"/>
                <w:color w:val="000000" w:themeColor="text1"/>
              </w:rPr>
              <w:t xml:space="preserve"> </w:t>
            </w:r>
            <w:r w:rsidR="008B6251" w:rsidRPr="008B6251">
              <w:rPr>
                <w:rFonts w:cs="Arial"/>
                <w:color w:val="000000" w:themeColor="text1"/>
              </w:rPr>
              <w:t>161</w:t>
            </w:r>
            <w:r w:rsidR="008B6251">
              <w:rPr>
                <w:rFonts w:cs="Arial"/>
                <w:color w:val="000000" w:themeColor="text1"/>
              </w:rPr>
              <w:t> </w:t>
            </w:r>
            <w:r w:rsidR="008B6251" w:rsidRPr="008B6251">
              <w:rPr>
                <w:rFonts w:cs="Arial"/>
                <w:color w:val="000000" w:themeColor="text1"/>
              </w:rPr>
              <w:t>133</w:t>
            </w:r>
            <w:r w:rsidR="008B6251">
              <w:rPr>
                <w:rFonts w:cs="Arial"/>
                <w:color w:val="000000" w:themeColor="text1"/>
              </w:rPr>
              <w:t>,</w:t>
            </w:r>
            <w:r w:rsidR="008B6251" w:rsidRPr="008B6251">
              <w:rPr>
                <w:rFonts w:cs="Arial"/>
                <w:color w:val="000000" w:themeColor="text1"/>
              </w:rPr>
              <w:t xml:space="preserve">58 </w:t>
            </w:r>
            <w:r w:rsidR="009B7479" w:rsidRPr="00B30578">
              <w:rPr>
                <w:rFonts w:cs="Arial"/>
                <w:color w:val="000000" w:themeColor="text1"/>
              </w:rPr>
              <w:t>tis.</w:t>
            </w:r>
            <w:r w:rsidR="000831E4" w:rsidRPr="00B30578">
              <w:rPr>
                <w:rFonts w:cs="Arial"/>
                <w:color w:val="000000" w:themeColor="text1"/>
              </w:rPr>
              <w:t xml:space="preserve"> Kč</w:t>
            </w:r>
          </w:p>
        </w:tc>
      </w:tr>
      <w:tr w:rsidR="000831E4" w14:paraId="51C53CDF" w14:textId="77777777" w:rsidTr="008C2F97">
        <w:trPr>
          <w:trHeight w:hRule="exact" w:val="567"/>
        </w:trPr>
        <w:tc>
          <w:tcPr>
            <w:tcW w:w="6757" w:type="dxa"/>
            <w:shd w:val="clear" w:color="auto" w:fill="auto"/>
            <w:vAlign w:val="center"/>
          </w:tcPr>
          <w:p w14:paraId="284BD0FD" w14:textId="77777777" w:rsidR="000831E4" w:rsidRDefault="00AC0A60" w:rsidP="00733D2D">
            <w:pPr>
              <w:rPr>
                <w:shd w:val="clear" w:color="auto" w:fill="D9D9D9" w:themeFill="background1" w:themeFillShade="D9"/>
              </w:rPr>
            </w:pPr>
            <w:r>
              <w:rPr>
                <w:rFonts w:cs="Arial"/>
                <w:b/>
                <w:color w:val="000000"/>
              </w:rPr>
              <w:t>M</w:t>
            </w:r>
            <w:r w:rsidR="000831E4" w:rsidRPr="00227794">
              <w:rPr>
                <w:rFonts w:cs="Arial"/>
                <w:b/>
                <w:color w:val="000000"/>
              </w:rPr>
              <w:t>ax</w:t>
            </w:r>
            <w:r>
              <w:rPr>
                <w:rFonts w:cs="Arial"/>
                <w:b/>
                <w:color w:val="000000"/>
              </w:rPr>
              <w:t>imální</w:t>
            </w:r>
            <w:r w:rsidR="000831E4" w:rsidRPr="00227794">
              <w:rPr>
                <w:rFonts w:cs="Arial"/>
                <w:b/>
                <w:color w:val="000000"/>
              </w:rPr>
              <w:t xml:space="preserve"> výše dotace </w:t>
            </w:r>
            <w:r w:rsidR="00227794" w:rsidRPr="00227794">
              <w:rPr>
                <w:rFonts w:cs="Arial"/>
                <w:b/>
                <w:color w:val="000000"/>
              </w:rPr>
              <w:t>EU</w:t>
            </w:r>
            <w:r w:rsidR="00227794">
              <w:rPr>
                <w:rFonts w:cs="Arial"/>
                <w:color w:val="000000"/>
              </w:rPr>
              <w:t xml:space="preserve"> </w:t>
            </w:r>
            <w:r w:rsidR="000831E4" w:rsidRPr="00B76C58">
              <w:rPr>
                <w:rFonts w:cs="Arial"/>
                <w:color w:val="000000"/>
              </w:rPr>
              <w:t>ze způsobilých</w:t>
            </w:r>
            <w:r w:rsidR="000831E4">
              <w:rPr>
                <w:rFonts w:cs="Arial"/>
                <w:color w:val="000000"/>
              </w:rPr>
              <w:t xml:space="preserve"> výdajů (85</w:t>
            </w:r>
            <w:r w:rsidR="0019309E">
              <w:rPr>
                <w:rFonts w:cs="Arial"/>
                <w:color w:val="000000"/>
              </w:rPr>
              <w:t> </w:t>
            </w:r>
            <w:r w:rsidR="000831E4">
              <w:rPr>
                <w:rFonts w:cs="Arial"/>
                <w:color w:val="000000"/>
              </w:rPr>
              <w:t>%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F9D54A5" w14:textId="104E79CE" w:rsidR="000831E4" w:rsidRPr="00B30578" w:rsidRDefault="000831E4" w:rsidP="009B7479">
            <w:pPr>
              <w:ind w:right="170"/>
              <w:jc w:val="right"/>
              <w:rPr>
                <w:color w:val="000000" w:themeColor="text1"/>
                <w:shd w:val="clear" w:color="auto" w:fill="D9D9D9" w:themeFill="background1" w:themeFillShade="D9"/>
              </w:rPr>
            </w:pPr>
            <w:r w:rsidRPr="00B30578">
              <w:rPr>
                <w:rFonts w:cs="Arial"/>
                <w:color w:val="000000" w:themeColor="text1"/>
              </w:rPr>
              <w:t>1</w:t>
            </w:r>
            <w:r w:rsidR="008C2F97" w:rsidRPr="00B30578">
              <w:rPr>
                <w:rFonts w:cs="Arial"/>
                <w:color w:val="000000" w:themeColor="text1"/>
              </w:rPr>
              <w:t>3</w:t>
            </w:r>
            <w:r w:rsidR="008B6251">
              <w:rPr>
                <w:rFonts w:cs="Arial"/>
                <w:color w:val="000000" w:themeColor="text1"/>
              </w:rPr>
              <w:t>6</w:t>
            </w:r>
            <w:r w:rsidR="008C2F97" w:rsidRPr="00B30578">
              <w:rPr>
                <w:rFonts w:cs="Arial"/>
                <w:color w:val="000000" w:themeColor="text1"/>
              </w:rPr>
              <w:t> </w:t>
            </w:r>
            <w:r w:rsidR="008B6251">
              <w:rPr>
                <w:rFonts w:cs="Arial"/>
                <w:color w:val="000000" w:themeColor="text1"/>
              </w:rPr>
              <w:t>963</w:t>
            </w:r>
            <w:r w:rsidR="008C2F97" w:rsidRPr="00B30578">
              <w:rPr>
                <w:rFonts w:cs="Arial"/>
                <w:color w:val="000000" w:themeColor="text1"/>
              </w:rPr>
              <w:t>,</w:t>
            </w:r>
            <w:r w:rsidR="008B6251">
              <w:rPr>
                <w:rFonts w:cs="Arial"/>
                <w:color w:val="000000" w:themeColor="text1"/>
              </w:rPr>
              <w:t>54</w:t>
            </w:r>
            <w:r w:rsidR="009B7479" w:rsidRPr="00B30578">
              <w:rPr>
                <w:rFonts w:cs="Arial"/>
                <w:color w:val="000000" w:themeColor="text1"/>
              </w:rPr>
              <w:t xml:space="preserve"> tis.</w:t>
            </w:r>
            <w:r w:rsidRPr="00B30578">
              <w:rPr>
                <w:rFonts w:cs="Arial"/>
                <w:color w:val="000000" w:themeColor="text1"/>
              </w:rPr>
              <w:t xml:space="preserve"> Kč</w:t>
            </w:r>
          </w:p>
        </w:tc>
      </w:tr>
      <w:tr w:rsidR="000831E4" w14:paraId="208EDAA9" w14:textId="77777777" w:rsidTr="008C2F97">
        <w:trPr>
          <w:trHeight w:hRule="exact" w:val="567"/>
        </w:trPr>
        <w:tc>
          <w:tcPr>
            <w:tcW w:w="6757" w:type="dxa"/>
            <w:vAlign w:val="center"/>
          </w:tcPr>
          <w:p w14:paraId="16BD0577" w14:textId="027ED4D3" w:rsidR="000831E4" w:rsidRDefault="000831E4" w:rsidP="00733D2D">
            <w:pPr>
              <w:rPr>
                <w:shd w:val="clear" w:color="auto" w:fill="D9D9D9" w:themeFill="background1" w:themeFillShade="D9"/>
              </w:rPr>
            </w:pPr>
            <w:r w:rsidRPr="00532871">
              <w:rPr>
                <w:rFonts w:cs="Arial"/>
                <w:color w:val="000000"/>
              </w:rPr>
              <w:t xml:space="preserve">Předpokládaná </w:t>
            </w:r>
            <w:r w:rsidRPr="00227794">
              <w:rPr>
                <w:rFonts w:cs="Arial"/>
                <w:b/>
                <w:color w:val="000000"/>
              </w:rPr>
              <w:t>výše finančního podílu SMO</w:t>
            </w:r>
            <w:r w:rsidRPr="00532871">
              <w:rPr>
                <w:rFonts w:cs="Arial"/>
                <w:color w:val="000000"/>
              </w:rPr>
              <w:t xml:space="preserve"> </w:t>
            </w:r>
            <w:r w:rsidRPr="002E2FB1">
              <w:rPr>
                <w:rFonts w:cs="Arial"/>
                <w:i/>
                <w:color w:val="000000"/>
              </w:rPr>
              <w:t>(tzn. 1</w:t>
            </w:r>
            <w:r w:rsidR="00227794">
              <w:rPr>
                <w:rFonts w:cs="Arial"/>
                <w:i/>
                <w:color w:val="000000"/>
              </w:rPr>
              <w:t>5 </w:t>
            </w:r>
            <w:r w:rsidRPr="002E2FB1">
              <w:rPr>
                <w:rFonts w:cs="Arial"/>
                <w:i/>
                <w:color w:val="000000"/>
              </w:rPr>
              <w:t>%</w:t>
            </w:r>
            <w:r w:rsidR="00227794">
              <w:rPr>
                <w:rFonts w:cs="Arial"/>
                <w:i/>
                <w:color w:val="000000"/>
              </w:rPr>
              <w:t xml:space="preserve"> způsobilých </w:t>
            </w:r>
            <w:r w:rsidR="009B7479">
              <w:rPr>
                <w:rFonts w:cs="Arial"/>
                <w:i/>
                <w:color w:val="000000"/>
              </w:rPr>
              <w:t xml:space="preserve">výdajů </w:t>
            </w:r>
            <w:r>
              <w:rPr>
                <w:rFonts w:cs="Arial"/>
                <w:i/>
                <w:color w:val="000000"/>
              </w:rPr>
              <w:t>+</w:t>
            </w:r>
            <w:r w:rsidR="00B775CB">
              <w:rPr>
                <w:rFonts w:cs="Arial"/>
                <w:i/>
                <w:color w:val="000000"/>
              </w:rPr>
              <w:t xml:space="preserve"> dotačně </w:t>
            </w:r>
            <w:r>
              <w:rPr>
                <w:rFonts w:cs="Arial"/>
                <w:i/>
                <w:color w:val="000000"/>
              </w:rPr>
              <w:t>nezpůsobilé výdaje</w:t>
            </w:r>
            <w:r w:rsidRPr="002E2FB1">
              <w:rPr>
                <w:rFonts w:cs="Arial"/>
                <w:i/>
                <w:color w:val="000000"/>
              </w:rPr>
              <w:t>)</w:t>
            </w:r>
          </w:p>
        </w:tc>
        <w:tc>
          <w:tcPr>
            <w:tcW w:w="2305" w:type="dxa"/>
            <w:vAlign w:val="center"/>
          </w:tcPr>
          <w:p w14:paraId="6C876086" w14:textId="61991BC2" w:rsidR="000831E4" w:rsidRPr="00B30578" w:rsidRDefault="001C0C3D" w:rsidP="009B7479">
            <w:pPr>
              <w:ind w:right="170"/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112</w:t>
            </w:r>
            <w:r w:rsidR="008C2F97" w:rsidRPr="00B30578">
              <w:rPr>
                <w:rFonts w:ascii="Calibri" w:hAnsi="Calibri"/>
                <w:color w:val="000000" w:themeColor="text1"/>
              </w:rPr>
              <w:t> </w:t>
            </w:r>
            <w:r>
              <w:rPr>
                <w:rFonts w:ascii="Calibri" w:hAnsi="Calibri"/>
                <w:color w:val="000000" w:themeColor="text1"/>
              </w:rPr>
              <w:t>030</w:t>
            </w:r>
            <w:r w:rsidR="008C2F97" w:rsidRPr="00B30578">
              <w:rPr>
                <w:rFonts w:ascii="Calibri" w:hAnsi="Calibri"/>
                <w:color w:val="000000" w:themeColor="text1"/>
              </w:rPr>
              <w:t>,0</w:t>
            </w:r>
            <w:r>
              <w:rPr>
                <w:rFonts w:ascii="Calibri" w:hAnsi="Calibri"/>
                <w:color w:val="000000" w:themeColor="text1"/>
              </w:rPr>
              <w:t>2</w:t>
            </w:r>
            <w:r w:rsidR="009B7479" w:rsidRPr="00B30578">
              <w:rPr>
                <w:rFonts w:ascii="Calibri" w:hAnsi="Calibri"/>
                <w:color w:val="000000" w:themeColor="text1"/>
              </w:rPr>
              <w:t xml:space="preserve"> tis.</w:t>
            </w:r>
            <w:r w:rsidR="0019309E" w:rsidRPr="00B30578">
              <w:rPr>
                <w:rFonts w:ascii="Calibri" w:hAnsi="Calibri"/>
                <w:color w:val="000000" w:themeColor="text1"/>
              </w:rPr>
              <w:t xml:space="preserve"> Kč</w:t>
            </w:r>
          </w:p>
        </w:tc>
      </w:tr>
    </w:tbl>
    <w:p w14:paraId="2367411D" w14:textId="088ACC20" w:rsidR="00EA2548" w:rsidRPr="00B775CB" w:rsidRDefault="00267127" w:rsidP="00B775CB">
      <w:pPr>
        <w:spacing w:line="230" w:lineRule="auto"/>
        <w:jc w:val="both"/>
        <w:rPr>
          <w:rFonts w:ascii="Calibri" w:hAnsi="Calibri" w:cs="Calibri"/>
          <w:color w:val="000000" w:themeColor="text1"/>
        </w:rPr>
      </w:pPr>
      <w:r w:rsidRPr="00B775CB">
        <w:rPr>
          <w:rFonts w:ascii="Calibri" w:hAnsi="Calibri" w:cs="Calibri"/>
          <w:color w:val="000000" w:themeColor="text1"/>
        </w:rPr>
        <w:t xml:space="preserve">Nezpůsobilé </w:t>
      </w:r>
      <w:proofErr w:type="gramStart"/>
      <w:r w:rsidRPr="00B775CB">
        <w:rPr>
          <w:rFonts w:ascii="Calibri" w:hAnsi="Calibri" w:cs="Calibri"/>
          <w:color w:val="000000" w:themeColor="text1"/>
        </w:rPr>
        <w:t xml:space="preserve">výdaje </w:t>
      </w:r>
      <w:r w:rsidR="00B775CB">
        <w:rPr>
          <w:rFonts w:ascii="Calibri" w:hAnsi="Calibri" w:cs="Calibri"/>
          <w:color w:val="000000" w:themeColor="text1"/>
        </w:rPr>
        <w:t xml:space="preserve">- </w:t>
      </w:r>
      <w:r w:rsidR="00B775CB" w:rsidRPr="00B775CB">
        <w:rPr>
          <w:rFonts w:ascii="Calibri" w:hAnsi="Calibri" w:cs="Calibri"/>
          <w:color w:val="000000" w:themeColor="text1"/>
        </w:rPr>
        <w:t>jedná</w:t>
      </w:r>
      <w:proofErr w:type="gramEnd"/>
      <w:r w:rsidR="00B775CB" w:rsidRPr="00B775CB">
        <w:rPr>
          <w:rFonts w:ascii="Calibri" w:hAnsi="Calibri" w:cs="Calibri"/>
          <w:color w:val="000000" w:themeColor="text1"/>
        </w:rPr>
        <w:t xml:space="preserve"> se </w:t>
      </w:r>
      <w:r w:rsidRPr="00B775CB">
        <w:rPr>
          <w:rFonts w:ascii="Calibri" w:hAnsi="Calibri" w:cs="Calibri"/>
          <w:color w:val="000000" w:themeColor="text1"/>
        </w:rPr>
        <w:t xml:space="preserve">zejména </w:t>
      </w:r>
      <w:r w:rsidR="00B775CB" w:rsidRPr="00B775CB">
        <w:rPr>
          <w:rFonts w:ascii="Calibri" w:hAnsi="Calibri" w:cs="Calibri"/>
          <w:color w:val="000000" w:themeColor="text1"/>
        </w:rPr>
        <w:t xml:space="preserve">o </w:t>
      </w:r>
      <w:r w:rsidRPr="00B775CB">
        <w:rPr>
          <w:rFonts w:ascii="Calibri" w:hAnsi="Calibri" w:cs="Calibri"/>
          <w:color w:val="000000" w:themeColor="text1"/>
        </w:rPr>
        <w:t xml:space="preserve">poskytování servisních služeb za prvních 5 let provozu, </w:t>
      </w:r>
      <w:r w:rsidR="00B775CB" w:rsidRPr="00B775CB">
        <w:rPr>
          <w:rFonts w:ascii="Calibri" w:hAnsi="Calibri" w:cs="Calibri"/>
          <w:color w:val="000000" w:themeColor="text1"/>
        </w:rPr>
        <w:t xml:space="preserve">služby zaškolení obsluhy dopravního centra vč. nutných programátorských prací </w:t>
      </w:r>
      <w:r w:rsidR="00B775CB">
        <w:rPr>
          <w:rFonts w:ascii="Calibri" w:hAnsi="Calibri" w:cs="Calibri"/>
          <w:color w:val="000000" w:themeColor="text1"/>
        </w:rPr>
        <w:t>v počátcích provozní fáze</w:t>
      </w:r>
    </w:p>
    <w:p w14:paraId="2554CF50" w14:textId="5EDFE22C" w:rsidR="00227794" w:rsidRPr="002D0817" w:rsidRDefault="00227794" w:rsidP="00653B66">
      <w:pPr>
        <w:pStyle w:val="Odstavecseseznamem"/>
        <w:spacing w:after="60" w:line="300" w:lineRule="exact"/>
        <w:ind w:left="142"/>
        <w:contextualSpacing w:val="0"/>
        <w:jc w:val="both"/>
        <w:rPr>
          <w:rFonts w:eastAsia="Times New Roman" w:cs="Arial"/>
          <w:b/>
          <w:color w:val="000000" w:themeColor="text1"/>
          <w:sz w:val="23"/>
          <w:szCs w:val="23"/>
          <w:lang w:eastAsia="cs-CZ"/>
        </w:rPr>
      </w:pPr>
      <w:r w:rsidRPr="002D0817">
        <w:rPr>
          <w:rFonts w:eastAsia="Times New Roman" w:cs="Arial"/>
          <w:b/>
          <w:color w:val="000000" w:themeColor="text1"/>
          <w:sz w:val="23"/>
          <w:szCs w:val="23"/>
          <w:u w:val="single"/>
          <w:lang w:eastAsia="cs-CZ"/>
        </w:rPr>
        <w:t>Předpokládaný časový harmonogram projektu (milníky)</w:t>
      </w:r>
      <w:r w:rsidRPr="002D0817">
        <w:rPr>
          <w:rFonts w:eastAsia="Times New Roman" w:cs="Arial"/>
          <w:b/>
          <w:color w:val="000000" w:themeColor="text1"/>
          <w:sz w:val="23"/>
          <w:szCs w:val="23"/>
          <w:lang w:eastAsia="cs-CZ"/>
        </w:rPr>
        <w:t>:</w:t>
      </w:r>
    </w:p>
    <w:tbl>
      <w:tblPr>
        <w:tblW w:w="0" w:type="auto"/>
        <w:tblInd w:w="4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1"/>
        <w:gridCol w:w="2830"/>
      </w:tblGrid>
      <w:tr w:rsidR="009B7479" w14:paraId="5C72A423" w14:textId="77777777" w:rsidTr="00653B66">
        <w:trPr>
          <w:trHeight w:hRule="exact" w:val="397"/>
        </w:trPr>
        <w:tc>
          <w:tcPr>
            <w:tcW w:w="6191" w:type="dxa"/>
            <w:tcBorders>
              <w:lef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1A1F2AD" w14:textId="77777777" w:rsidR="009B7479" w:rsidRPr="00227794" w:rsidRDefault="009B7479" w:rsidP="009B7479">
            <w:pPr>
              <w:spacing w:line="300" w:lineRule="exact"/>
              <w:ind w:left="29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Předpoklad provedení </w:t>
            </w:r>
            <w:r w:rsidRPr="00227794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VZ na dodavatele: 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7CE79CAD" w14:textId="519EF75D" w:rsidR="009B7479" w:rsidRDefault="001C0C3D" w:rsidP="009B7479">
            <w:pPr>
              <w:spacing w:line="300" w:lineRule="exact"/>
              <w:ind w:right="227"/>
              <w:jc w:val="right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11</w:t>
            </w:r>
            <w:r w:rsidR="009B7479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/</w:t>
            </w:r>
            <w:proofErr w:type="gramStart"/>
            <w:r w:rsidR="009B7479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20</w:t>
            </w:r>
            <w:r w:rsidR="009C6072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2</w:t>
            </w: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4</w:t>
            </w:r>
            <w:r w:rsidR="009B7479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 – </w:t>
            </w:r>
            <w:r w:rsidR="009C6072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0</w:t>
            </w: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3</w:t>
            </w:r>
            <w:proofErr w:type="gramEnd"/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/</w:t>
            </w:r>
            <w:r w:rsidR="009B7479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20</w:t>
            </w:r>
            <w:r w:rsidR="009C6072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2</w:t>
            </w: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5</w:t>
            </w:r>
          </w:p>
        </w:tc>
      </w:tr>
      <w:tr w:rsidR="009B7479" w14:paraId="441828C1" w14:textId="77777777" w:rsidTr="00653B66">
        <w:trPr>
          <w:trHeight w:hRule="exact" w:val="397"/>
        </w:trPr>
        <w:tc>
          <w:tcPr>
            <w:tcW w:w="6191" w:type="dxa"/>
            <w:tcBorders>
              <w:left w:val="single" w:sz="4" w:space="0" w:color="F2F2F2" w:themeColor="background1" w:themeShade="F2"/>
            </w:tcBorders>
            <w:shd w:val="clear" w:color="auto" w:fill="auto"/>
            <w:vAlign w:val="center"/>
          </w:tcPr>
          <w:p w14:paraId="350FC655" w14:textId="77777777" w:rsidR="009B7479" w:rsidRDefault="009B7479" w:rsidP="009B7479">
            <w:pPr>
              <w:spacing w:line="300" w:lineRule="exact"/>
              <w:ind w:left="29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Předpoklad uzavření smlouvy s vybraným dodavatelem: </w:t>
            </w:r>
          </w:p>
        </w:tc>
        <w:tc>
          <w:tcPr>
            <w:tcW w:w="2830" w:type="dxa"/>
          </w:tcPr>
          <w:p w14:paraId="393868C5" w14:textId="2C32CDE6" w:rsidR="009B7479" w:rsidRDefault="009C6072" w:rsidP="009B7479">
            <w:pPr>
              <w:spacing w:line="300" w:lineRule="exact"/>
              <w:ind w:right="227"/>
              <w:jc w:val="right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0</w:t>
            </w:r>
            <w:r w:rsidR="001C0C3D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3</w:t>
            </w: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/202</w:t>
            </w:r>
            <w:r w:rsidR="001C0C3D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5</w:t>
            </w:r>
          </w:p>
        </w:tc>
      </w:tr>
      <w:tr w:rsidR="009B7479" w14:paraId="1F84E45C" w14:textId="77777777" w:rsidTr="00653B66">
        <w:trPr>
          <w:trHeight w:hRule="exact" w:val="397"/>
        </w:trPr>
        <w:tc>
          <w:tcPr>
            <w:tcW w:w="6191" w:type="dxa"/>
            <w:tcBorders>
              <w:left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E0501F" w14:textId="77777777" w:rsidR="009B7479" w:rsidRDefault="00C23A4B" w:rsidP="009B7479">
            <w:pPr>
              <w:spacing w:line="300" w:lineRule="exact"/>
              <w:ind w:left="29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Předpoklad z</w:t>
            </w:r>
            <w:r w:rsidR="009B7479" w:rsidRPr="00227794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ahájení realizace projektu: </w:t>
            </w:r>
          </w:p>
        </w:tc>
        <w:tc>
          <w:tcPr>
            <w:tcW w:w="2830" w:type="dxa"/>
            <w:tcBorders>
              <w:bottom w:val="single" w:sz="4" w:space="0" w:color="BFBFBF" w:themeColor="background1" w:themeShade="BF"/>
            </w:tcBorders>
          </w:tcPr>
          <w:p w14:paraId="516EB790" w14:textId="65F0F23A" w:rsidR="009B7479" w:rsidRPr="00227794" w:rsidRDefault="009B7479" w:rsidP="009B7479">
            <w:pPr>
              <w:spacing w:line="300" w:lineRule="exact"/>
              <w:ind w:right="227"/>
              <w:jc w:val="right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 w:rsidRPr="00227794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0</w:t>
            </w:r>
            <w:r w:rsidR="001C0C3D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4</w:t>
            </w:r>
            <w:r w:rsidRPr="00227794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/20</w:t>
            </w:r>
            <w:r w:rsidR="009C6072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2</w:t>
            </w:r>
            <w:r w:rsidR="001C0C3D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5</w:t>
            </w:r>
          </w:p>
        </w:tc>
      </w:tr>
      <w:tr w:rsidR="009B7479" w14:paraId="75FD3462" w14:textId="77777777" w:rsidTr="00653B66">
        <w:trPr>
          <w:trHeight w:hRule="exact" w:val="397"/>
        </w:trPr>
        <w:tc>
          <w:tcPr>
            <w:tcW w:w="6191" w:type="dxa"/>
            <w:tcBorders>
              <w:top w:val="single" w:sz="4" w:space="0" w:color="BFBFBF" w:themeColor="background1" w:themeShade="BF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39571E" w14:textId="77777777" w:rsidR="009B7479" w:rsidRPr="00227794" w:rsidRDefault="00C23A4B" w:rsidP="009B7479">
            <w:pPr>
              <w:spacing w:line="300" w:lineRule="exact"/>
              <w:ind w:left="29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Předpoklad u</w:t>
            </w:r>
            <w:r w:rsidR="009B7479" w:rsidRPr="00227794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končení realizace projektu</w:t>
            </w: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:</w:t>
            </w:r>
            <w:r w:rsidR="009B7479" w:rsidRPr="00227794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ACFEE7E" w14:textId="15D1212E" w:rsidR="009B7479" w:rsidRPr="00227794" w:rsidRDefault="001C0C3D" w:rsidP="009B7479">
            <w:pPr>
              <w:spacing w:line="300" w:lineRule="exact"/>
              <w:ind w:right="227"/>
              <w:jc w:val="right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31. 12. 2026</w:t>
            </w:r>
          </w:p>
        </w:tc>
      </w:tr>
      <w:tr w:rsidR="008C2F97" w:rsidRPr="008C2F97" w14:paraId="2D53530B" w14:textId="77777777" w:rsidTr="00653B66">
        <w:trPr>
          <w:trHeight w:hRule="exact" w:val="1023"/>
        </w:trPr>
        <w:tc>
          <w:tcPr>
            <w:tcW w:w="6191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</w:tcBorders>
            <w:shd w:val="clear" w:color="auto" w:fill="auto"/>
            <w:vAlign w:val="center"/>
          </w:tcPr>
          <w:p w14:paraId="0DCF80ED" w14:textId="236D7EB1" w:rsidR="009B7479" w:rsidRPr="00227794" w:rsidRDefault="009B7479" w:rsidP="009B7479">
            <w:pPr>
              <w:spacing w:line="300" w:lineRule="exact"/>
              <w:ind w:left="29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 w:rsidRPr="00227794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Doba </w:t>
            </w:r>
            <w:r w:rsidR="00653B66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minimální doby </w:t>
            </w:r>
            <w:r w:rsidRPr="00227794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udržitelnosti výstupů projektu</w:t>
            </w:r>
            <w:r w:rsidR="00653B66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 ve vztahu k podmínkám OPD</w:t>
            </w:r>
            <w:r w:rsidRPr="00227794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: </w:t>
            </w:r>
          </w:p>
        </w:tc>
        <w:tc>
          <w:tcPr>
            <w:tcW w:w="283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C91B82C" w14:textId="1EA70D78" w:rsidR="009B7479" w:rsidRPr="00653B66" w:rsidRDefault="00653B66" w:rsidP="00653B66">
            <w:pPr>
              <w:spacing w:line="300" w:lineRule="exact"/>
              <w:ind w:left="951" w:right="227"/>
              <w:jc w:val="right"/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</w:pPr>
            <w:r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předpokládá se </w:t>
            </w:r>
            <w:r w:rsidR="009B7479" w:rsidRPr="00B30578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do </w:t>
            </w:r>
            <w:r w:rsidR="008C2F97" w:rsidRPr="00B30578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12/</w:t>
            </w:r>
            <w:r w:rsidR="009B7479" w:rsidRPr="00B30578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20</w:t>
            </w:r>
            <w:r w:rsidR="001C0C3D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>32</w:t>
            </w:r>
            <w:r w:rsidR="008C2F97" w:rsidRPr="00B30578">
              <w:rPr>
                <w:rFonts w:eastAsia="Times New Roman" w:cs="Arial"/>
                <w:color w:val="000000" w:themeColor="text1"/>
                <w:sz w:val="23"/>
                <w:szCs w:val="23"/>
                <w:lang w:eastAsia="cs-CZ"/>
              </w:rPr>
              <w:t xml:space="preserve"> </w:t>
            </w:r>
          </w:p>
        </w:tc>
      </w:tr>
    </w:tbl>
    <w:p w14:paraId="70A58590" w14:textId="77777777" w:rsidR="00227794" w:rsidRDefault="00227794" w:rsidP="00CE7E8C">
      <w:pPr>
        <w:spacing w:line="300" w:lineRule="exact"/>
        <w:jc w:val="both"/>
        <w:rPr>
          <w:rFonts w:eastAsia="Times New Roman" w:cs="Arial"/>
          <w:b/>
          <w:color w:val="000000" w:themeColor="text1"/>
          <w:sz w:val="23"/>
          <w:szCs w:val="23"/>
          <w:lang w:eastAsia="cs-CZ"/>
        </w:rPr>
      </w:pPr>
    </w:p>
    <w:p w14:paraId="45CD537E" w14:textId="1FFAA627" w:rsidR="00CE7E8C" w:rsidRPr="00B775CB" w:rsidRDefault="00CE7E8C" w:rsidP="00CE7E8C">
      <w:pPr>
        <w:spacing w:line="300" w:lineRule="exact"/>
        <w:jc w:val="both"/>
        <w:rPr>
          <w:rFonts w:eastAsia="Times New Roman" w:cs="Arial"/>
          <w:b/>
          <w:color w:val="000000" w:themeColor="text1"/>
          <w:sz w:val="24"/>
          <w:szCs w:val="24"/>
          <w:lang w:eastAsia="cs-CZ"/>
        </w:rPr>
      </w:pPr>
      <w:r w:rsidRPr="00B775CB">
        <w:rPr>
          <w:rFonts w:eastAsia="Times New Roman" w:cs="Arial"/>
          <w:b/>
          <w:color w:val="000000" w:themeColor="text1"/>
          <w:sz w:val="24"/>
          <w:szCs w:val="24"/>
          <w:u w:val="single"/>
          <w:lang w:eastAsia="cs-CZ"/>
        </w:rPr>
        <w:lastRenderedPageBreak/>
        <w:t>Závěr</w:t>
      </w:r>
    </w:p>
    <w:p w14:paraId="46AEFE60" w14:textId="45DAAC16" w:rsidR="00D56460" w:rsidRPr="00D56460" w:rsidRDefault="00D56460" w:rsidP="00D56460">
      <w:pPr>
        <w:spacing w:before="206" w:line="244" w:lineRule="auto"/>
        <w:ind w:right="108"/>
        <w:jc w:val="both"/>
        <w:rPr>
          <w:bCs/>
          <w:sz w:val="24"/>
        </w:rPr>
      </w:pPr>
      <w:r w:rsidRPr="00D56460">
        <w:rPr>
          <w:b/>
          <w:sz w:val="24"/>
        </w:rPr>
        <w:t>S ohledem na výše uvedené skutečnosti a význam projektu v oblasti městské dopravy</w:t>
      </w:r>
      <w:r>
        <w:rPr>
          <w:b/>
          <w:sz w:val="24"/>
        </w:rPr>
        <w:t xml:space="preserve"> doporučujeme zastupitelstvu města rozhodnout o přijetí dotace v rámci Operačního programu Doprava a uzavření </w:t>
      </w:r>
      <w:r>
        <w:rPr>
          <w:b/>
          <w:sz w:val="24"/>
        </w:rPr>
        <w:t>Smlouvy</w:t>
      </w:r>
      <w:r>
        <w:rPr>
          <w:b/>
          <w:sz w:val="24"/>
        </w:rPr>
        <w:t xml:space="preserve"> o financování projektu </w:t>
      </w:r>
      <w:r>
        <w:rPr>
          <w:b/>
          <w:i/>
          <w:sz w:val="24"/>
        </w:rPr>
        <w:t xml:space="preserve">Zvýšení propustnosti křižovatek v Ostravě </w:t>
      </w:r>
      <w:r w:rsidRPr="00D56460">
        <w:rPr>
          <w:bCs/>
          <w:sz w:val="24"/>
        </w:rPr>
        <w:t>dle přílohy č. 1 předkládaného materiálu.</w:t>
      </w:r>
    </w:p>
    <w:p w14:paraId="7108E981" w14:textId="03C20E66" w:rsidR="00EB241B" w:rsidRPr="00574168" w:rsidRDefault="00EB241B" w:rsidP="00D56460">
      <w:pPr>
        <w:spacing w:after="0" w:line="240" w:lineRule="auto"/>
        <w:jc w:val="both"/>
        <w:rPr>
          <w:rFonts w:eastAsia="Times New Roman" w:cs="Arial"/>
          <w:b/>
          <w:color w:val="FF0000"/>
          <w:sz w:val="23"/>
          <w:szCs w:val="23"/>
          <w:lang w:eastAsia="cs-CZ"/>
        </w:rPr>
      </w:pPr>
    </w:p>
    <w:sectPr w:rsidR="00EB241B" w:rsidRPr="00574168" w:rsidSect="003A03A4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DD85E" w14:textId="77777777" w:rsidR="004F56AD" w:rsidRDefault="004F56AD" w:rsidP="00817480">
      <w:pPr>
        <w:spacing w:after="0" w:line="240" w:lineRule="auto"/>
      </w:pPr>
      <w:r>
        <w:separator/>
      </w:r>
    </w:p>
  </w:endnote>
  <w:endnote w:type="continuationSeparator" w:id="0">
    <w:p w14:paraId="3762B9B9" w14:textId="77777777" w:rsidR="004F56AD" w:rsidRDefault="004F56AD" w:rsidP="0081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B952" w14:textId="77777777" w:rsidR="00817480" w:rsidRDefault="00817480" w:rsidP="0081748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B1F">
      <w:rPr>
        <w:noProof/>
      </w:rPr>
      <w:t>2</w:t>
    </w:r>
    <w:r>
      <w:fldChar w:fldCharType="end"/>
    </w:r>
    <w:r>
      <w:t>/</w:t>
    </w:r>
    <w:r w:rsidR="00D56460">
      <w:fldChar w:fldCharType="begin"/>
    </w:r>
    <w:r w:rsidR="00D56460">
      <w:instrText xml:space="preserve"> NUMPAGES   \* MERGEFORMAT </w:instrText>
    </w:r>
    <w:r w:rsidR="00D56460">
      <w:fldChar w:fldCharType="separate"/>
    </w:r>
    <w:r w:rsidR="00D56B1F">
      <w:rPr>
        <w:noProof/>
      </w:rPr>
      <w:t>2</w:t>
    </w:r>
    <w:r w:rsidR="00D564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EC366" w14:textId="77777777" w:rsidR="004F56AD" w:rsidRDefault="004F56AD" w:rsidP="00817480">
      <w:pPr>
        <w:spacing w:after="0" w:line="240" w:lineRule="auto"/>
      </w:pPr>
      <w:r>
        <w:separator/>
      </w:r>
    </w:p>
  </w:footnote>
  <w:footnote w:type="continuationSeparator" w:id="0">
    <w:p w14:paraId="00F22920" w14:textId="77777777" w:rsidR="004F56AD" w:rsidRDefault="004F56AD" w:rsidP="0081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E35"/>
    <w:multiLevelType w:val="hybridMultilevel"/>
    <w:tmpl w:val="FB42DF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2E7C"/>
    <w:multiLevelType w:val="hybridMultilevel"/>
    <w:tmpl w:val="2EC00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383A"/>
    <w:multiLevelType w:val="hybridMultilevel"/>
    <w:tmpl w:val="E2CC3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2AD6"/>
    <w:multiLevelType w:val="multilevel"/>
    <w:tmpl w:val="E696BE9C"/>
    <w:lvl w:ilvl="0">
      <w:start w:val="1"/>
      <w:numFmt w:val="upperLetter"/>
      <w:pStyle w:val="Nadpis1"/>
      <w:lvlText w:val="%1."/>
      <w:lvlJc w:val="left"/>
      <w:pPr>
        <w:tabs>
          <w:tab w:val="num" w:pos="2128"/>
        </w:tabs>
        <w:ind w:left="1844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851" w:firstLine="0"/>
      </w:pPr>
      <w:rPr>
        <w:rFonts w:hint="default"/>
        <w:sz w:val="28"/>
        <w:szCs w:val="36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0"/>
        </w:tabs>
        <w:ind w:left="6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20"/>
        </w:tabs>
        <w:ind w:left="7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0"/>
        </w:tabs>
        <w:ind w:left="8600" w:hanging="2160"/>
      </w:pPr>
      <w:rPr>
        <w:rFonts w:hint="default"/>
      </w:rPr>
    </w:lvl>
  </w:abstractNum>
  <w:abstractNum w:abstractNumId="4" w15:restartNumberingAfterBreak="0">
    <w:nsid w:val="3114113A"/>
    <w:multiLevelType w:val="hybridMultilevel"/>
    <w:tmpl w:val="CEA89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C72CB"/>
    <w:multiLevelType w:val="hybridMultilevel"/>
    <w:tmpl w:val="60980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925"/>
    <w:multiLevelType w:val="hybridMultilevel"/>
    <w:tmpl w:val="C6E6E5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20629"/>
    <w:multiLevelType w:val="hybridMultilevel"/>
    <w:tmpl w:val="2A986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2A03"/>
    <w:multiLevelType w:val="hybridMultilevel"/>
    <w:tmpl w:val="CEA89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2490"/>
    <w:multiLevelType w:val="hybridMultilevel"/>
    <w:tmpl w:val="E384E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25BD8"/>
    <w:multiLevelType w:val="hybridMultilevel"/>
    <w:tmpl w:val="7AE4E10E"/>
    <w:lvl w:ilvl="0" w:tplc="D4A697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4733">
    <w:abstractNumId w:val="5"/>
  </w:num>
  <w:num w:numId="2" w16cid:durableId="652951663">
    <w:abstractNumId w:val="6"/>
  </w:num>
  <w:num w:numId="3" w16cid:durableId="1955667601">
    <w:abstractNumId w:val="8"/>
  </w:num>
  <w:num w:numId="4" w16cid:durableId="1752657018">
    <w:abstractNumId w:val="4"/>
  </w:num>
  <w:num w:numId="5" w16cid:durableId="366176043">
    <w:abstractNumId w:val="9"/>
  </w:num>
  <w:num w:numId="6" w16cid:durableId="623537550">
    <w:abstractNumId w:val="2"/>
  </w:num>
  <w:num w:numId="7" w16cid:durableId="1102803886">
    <w:abstractNumId w:val="1"/>
  </w:num>
  <w:num w:numId="8" w16cid:durableId="2041471891">
    <w:abstractNumId w:val="3"/>
  </w:num>
  <w:num w:numId="9" w16cid:durableId="1546454750">
    <w:abstractNumId w:val="0"/>
  </w:num>
  <w:num w:numId="10" w16cid:durableId="1897667210">
    <w:abstractNumId w:val="7"/>
  </w:num>
  <w:num w:numId="11" w16cid:durableId="15967469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E2"/>
    <w:rsid w:val="00015A08"/>
    <w:rsid w:val="00031398"/>
    <w:rsid w:val="00050F1E"/>
    <w:rsid w:val="00051843"/>
    <w:rsid w:val="0006393B"/>
    <w:rsid w:val="000668A1"/>
    <w:rsid w:val="00080FAA"/>
    <w:rsid w:val="000831E4"/>
    <w:rsid w:val="000A3790"/>
    <w:rsid w:val="000B0EC2"/>
    <w:rsid w:val="000B1A5A"/>
    <w:rsid w:val="000B4F90"/>
    <w:rsid w:val="000C357F"/>
    <w:rsid w:val="000C37A7"/>
    <w:rsid w:val="000C654D"/>
    <w:rsid w:val="000C696E"/>
    <w:rsid w:val="000D258A"/>
    <w:rsid w:val="000E2D0C"/>
    <w:rsid w:val="000F2CF6"/>
    <w:rsid w:val="00120D34"/>
    <w:rsid w:val="00127F38"/>
    <w:rsid w:val="001313E2"/>
    <w:rsid w:val="00132997"/>
    <w:rsid w:val="00141104"/>
    <w:rsid w:val="0018743F"/>
    <w:rsid w:val="0019309E"/>
    <w:rsid w:val="001A630A"/>
    <w:rsid w:val="001B2474"/>
    <w:rsid w:val="001B2E3E"/>
    <w:rsid w:val="001B6D78"/>
    <w:rsid w:val="001C0C3D"/>
    <w:rsid w:val="001C2636"/>
    <w:rsid w:val="001C408E"/>
    <w:rsid w:val="001C6EC0"/>
    <w:rsid w:val="00213F95"/>
    <w:rsid w:val="00227794"/>
    <w:rsid w:val="00232960"/>
    <w:rsid w:val="00256C16"/>
    <w:rsid w:val="00267127"/>
    <w:rsid w:val="00273CDB"/>
    <w:rsid w:val="00277D65"/>
    <w:rsid w:val="00294A39"/>
    <w:rsid w:val="002D0817"/>
    <w:rsid w:val="00305B45"/>
    <w:rsid w:val="003064F1"/>
    <w:rsid w:val="003231AA"/>
    <w:rsid w:val="003364FF"/>
    <w:rsid w:val="003577AF"/>
    <w:rsid w:val="003578BF"/>
    <w:rsid w:val="00360177"/>
    <w:rsid w:val="00374C7D"/>
    <w:rsid w:val="003A03A4"/>
    <w:rsid w:val="003B284A"/>
    <w:rsid w:val="003B4423"/>
    <w:rsid w:val="003B6CAD"/>
    <w:rsid w:val="003C3482"/>
    <w:rsid w:val="003D34F9"/>
    <w:rsid w:val="003D6046"/>
    <w:rsid w:val="003E14DD"/>
    <w:rsid w:val="003E1FD2"/>
    <w:rsid w:val="003E5E4B"/>
    <w:rsid w:val="003E609F"/>
    <w:rsid w:val="004150ED"/>
    <w:rsid w:val="004152A5"/>
    <w:rsid w:val="00417A5E"/>
    <w:rsid w:val="00423E7D"/>
    <w:rsid w:val="00431FFF"/>
    <w:rsid w:val="00432C0B"/>
    <w:rsid w:val="0047194D"/>
    <w:rsid w:val="00481BDD"/>
    <w:rsid w:val="0048679B"/>
    <w:rsid w:val="004A1BE6"/>
    <w:rsid w:val="004C3717"/>
    <w:rsid w:val="004D620A"/>
    <w:rsid w:val="004E7838"/>
    <w:rsid w:val="004F41B7"/>
    <w:rsid w:val="004F56AD"/>
    <w:rsid w:val="004F6340"/>
    <w:rsid w:val="004F6537"/>
    <w:rsid w:val="004F7034"/>
    <w:rsid w:val="0050678E"/>
    <w:rsid w:val="00551498"/>
    <w:rsid w:val="00554FC4"/>
    <w:rsid w:val="00567CAF"/>
    <w:rsid w:val="00574168"/>
    <w:rsid w:val="0057581A"/>
    <w:rsid w:val="0058023A"/>
    <w:rsid w:val="00580416"/>
    <w:rsid w:val="00584DC6"/>
    <w:rsid w:val="00592B59"/>
    <w:rsid w:val="005A4658"/>
    <w:rsid w:val="005A720C"/>
    <w:rsid w:val="005C5B95"/>
    <w:rsid w:val="005D4FCE"/>
    <w:rsid w:val="005E5B0A"/>
    <w:rsid w:val="005F4EC0"/>
    <w:rsid w:val="00607DF9"/>
    <w:rsid w:val="00621E6A"/>
    <w:rsid w:val="006258EE"/>
    <w:rsid w:val="00627BE0"/>
    <w:rsid w:val="00631515"/>
    <w:rsid w:val="0064212E"/>
    <w:rsid w:val="00653B66"/>
    <w:rsid w:val="0066279C"/>
    <w:rsid w:val="00672121"/>
    <w:rsid w:val="006852C0"/>
    <w:rsid w:val="006C4EA7"/>
    <w:rsid w:val="006C7772"/>
    <w:rsid w:val="007063BB"/>
    <w:rsid w:val="00713AAC"/>
    <w:rsid w:val="007177B6"/>
    <w:rsid w:val="00733D2D"/>
    <w:rsid w:val="00734558"/>
    <w:rsid w:val="0073587C"/>
    <w:rsid w:val="0075655F"/>
    <w:rsid w:val="00757BB9"/>
    <w:rsid w:val="007638E6"/>
    <w:rsid w:val="007837DA"/>
    <w:rsid w:val="007920E5"/>
    <w:rsid w:val="007B7373"/>
    <w:rsid w:val="007C75EF"/>
    <w:rsid w:val="007E2199"/>
    <w:rsid w:val="00813FF3"/>
    <w:rsid w:val="00817480"/>
    <w:rsid w:val="0082754A"/>
    <w:rsid w:val="00834354"/>
    <w:rsid w:val="00836118"/>
    <w:rsid w:val="008411C6"/>
    <w:rsid w:val="00850453"/>
    <w:rsid w:val="00861CDF"/>
    <w:rsid w:val="008B0113"/>
    <w:rsid w:val="008B6251"/>
    <w:rsid w:val="008C2F97"/>
    <w:rsid w:val="008E5AA5"/>
    <w:rsid w:val="00900AD6"/>
    <w:rsid w:val="00911EE7"/>
    <w:rsid w:val="0091230D"/>
    <w:rsid w:val="00935897"/>
    <w:rsid w:val="00946332"/>
    <w:rsid w:val="00970CAD"/>
    <w:rsid w:val="009800C2"/>
    <w:rsid w:val="00991E8C"/>
    <w:rsid w:val="009B3BF6"/>
    <w:rsid w:val="009B7479"/>
    <w:rsid w:val="009C255C"/>
    <w:rsid w:val="009C6072"/>
    <w:rsid w:val="009D5021"/>
    <w:rsid w:val="009E7021"/>
    <w:rsid w:val="009F1C53"/>
    <w:rsid w:val="00A23204"/>
    <w:rsid w:val="00A43181"/>
    <w:rsid w:val="00A43A40"/>
    <w:rsid w:val="00A6256D"/>
    <w:rsid w:val="00A65F0F"/>
    <w:rsid w:val="00A71074"/>
    <w:rsid w:val="00A73DDB"/>
    <w:rsid w:val="00AC0A60"/>
    <w:rsid w:val="00AE225F"/>
    <w:rsid w:val="00B10CFE"/>
    <w:rsid w:val="00B13A3D"/>
    <w:rsid w:val="00B2448C"/>
    <w:rsid w:val="00B30578"/>
    <w:rsid w:val="00B6098F"/>
    <w:rsid w:val="00B60BF6"/>
    <w:rsid w:val="00B63268"/>
    <w:rsid w:val="00B701A6"/>
    <w:rsid w:val="00B775CB"/>
    <w:rsid w:val="00B77CF4"/>
    <w:rsid w:val="00B8596D"/>
    <w:rsid w:val="00B9046E"/>
    <w:rsid w:val="00BA095C"/>
    <w:rsid w:val="00BC28F9"/>
    <w:rsid w:val="00BD232D"/>
    <w:rsid w:val="00BD798E"/>
    <w:rsid w:val="00BE1B33"/>
    <w:rsid w:val="00BF3B0F"/>
    <w:rsid w:val="00C23A4B"/>
    <w:rsid w:val="00C26458"/>
    <w:rsid w:val="00C3284E"/>
    <w:rsid w:val="00C44CAC"/>
    <w:rsid w:val="00C45258"/>
    <w:rsid w:val="00C4677E"/>
    <w:rsid w:val="00C70927"/>
    <w:rsid w:val="00C9249F"/>
    <w:rsid w:val="00C93A88"/>
    <w:rsid w:val="00CA5FC6"/>
    <w:rsid w:val="00CB1ED4"/>
    <w:rsid w:val="00CC3301"/>
    <w:rsid w:val="00CE6CC8"/>
    <w:rsid w:val="00CE7E8C"/>
    <w:rsid w:val="00D06F7B"/>
    <w:rsid w:val="00D13EAC"/>
    <w:rsid w:val="00D42426"/>
    <w:rsid w:val="00D56460"/>
    <w:rsid w:val="00D56B1F"/>
    <w:rsid w:val="00D627A0"/>
    <w:rsid w:val="00D7128F"/>
    <w:rsid w:val="00D97CEF"/>
    <w:rsid w:val="00DA2E0D"/>
    <w:rsid w:val="00DA7CD8"/>
    <w:rsid w:val="00DC1EE1"/>
    <w:rsid w:val="00DE2DE3"/>
    <w:rsid w:val="00E16F6B"/>
    <w:rsid w:val="00E26849"/>
    <w:rsid w:val="00E33568"/>
    <w:rsid w:val="00E46000"/>
    <w:rsid w:val="00E55EE4"/>
    <w:rsid w:val="00E60700"/>
    <w:rsid w:val="00E64867"/>
    <w:rsid w:val="00E964C2"/>
    <w:rsid w:val="00E97DC7"/>
    <w:rsid w:val="00EA2548"/>
    <w:rsid w:val="00EA668E"/>
    <w:rsid w:val="00EB0AF3"/>
    <w:rsid w:val="00EB241B"/>
    <w:rsid w:val="00EB4B34"/>
    <w:rsid w:val="00EC0A70"/>
    <w:rsid w:val="00ED2E83"/>
    <w:rsid w:val="00ED4BAC"/>
    <w:rsid w:val="00EE0F13"/>
    <w:rsid w:val="00EE6BA8"/>
    <w:rsid w:val="00EF4A15"/>
    <w:rsid w:val="00F51C79"/>
    <w:rsid w:val="00F563B8"/>
    <w:rsid w:val="00F61043"/>
    <w:rsid w:val="00F661C5"/>
    <w:rsid w:val="00F81569"/>
    <w:rsid w:val="00F86CFF"/>
    <w:rsid w:val="00FA28E2"/>
    <w:rsid w:val="00FB44B9"/>
    <w:rsid w:val="00FB4BE5"/>
    <w:rsid w:val="00FB4E4D"/>
    <w:rsid w:val="00FD6CEE"/>
    <w:rsid w:val="00FE0E4E"/>
    <w:rsid w:val="00FE6292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E5DC"/>
  <w15:docId w15:val="{6C4B2D47-0FB3-4E77-8454-DEDE568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adpis 1,kapitola"/>
    <w:basedOn w:val="Normln"/>
    <w:next w:val="Normln"/>
    <w:link w:val="Nadpis1Char"/>
    <w:uiPriority w:val="9"/>
    <w:qFormat/>
    <w:rsid w:val="00D06F7B"/>
    <w:pPr>
      <w:keepNext/>
      <w:numPr>
        <w:numId w:val="8"/>
      </w:numPr>
      <w:tabs>
        <w:tab w:val="left" w:pos="737"/>
      </w:tabs>
      <w:spacing w:before="240" w:after="120" w:line="240" w:lineRule="auto"/>
      <w:outlineLvl w:val="0"/>
    </w:pPr>
    <w:rPr>
      <w:rFonts w:ascii="Arial" w:eastAsia="Times New Roman" w:hAnsi="Arial" w:cs="Arial"/>
      <w:b/>
      <w:bCs/>
      <w:smallCaps/>
      <w:kern w:val="32"/>
      <w:sz w:val="32"/>
      <w:szCs w:val="32"/>
      <w:lang w:eastAsia="cs-CZ"/>
    </w:rPr>
  </w:style>
  <w:style w:type="paragraph" w:styleId="Nadpis2">
    <w:name w:val="heading 2"/>
    <w:aliases w:val="Nadpis_2,Heading 2,adpis 2,MANUÁL X.Y,2.úroveň,odstavec,2.úroveò,2.úroveo,Outline2"/>
    <w:basedOn w:val="Normln"/>
    <w:next w:val="Normln"/>
    <w:link w:val="Nadpis2Char"/>
    <w:uiPriority w:val="9"/>
    <w:qFormat/>
    <w:rsid w:val="00D06F7B"/>
    <w:pPr>
      <w:keepNext/>
      <w:numPr>
        <w:ilvl w:val="1"/>
        <w:numId w:val="8"/>
      </w:numPr>
      <w:tabs>
        <w:tab w:val="clear" w:pos="1276"/>
        <w:tab w:val="num" w:pos="709"/>
      </w:tabs>
      <w:spacing w:before="400" w:after="240" w:line="240" w:lineRule="auto"/>
      <w:ind w:left="284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aliases w:val="Podpodkapitola,Heading 3,adpis 3"/>
    <w:basedOn w:val="Normln"/>
    <w:next w:val="Normln"/>
    <w:link w:val="Nadpis3Char"/>
    <w:uiPriority w:val="9"/>
    <w:qFormat/>
    <w:rsid w:val="00D06F7B"/>
    <w:pPr>
      <w:keepNext/>
      <w:numPr>
        <w:ilvl w:val="2"/>
        <w:numId w:val="8"/>
      </w:numPr>
      <w:spacing w:before="480" w:after="12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D06F7B"/>
    <w:pPr>
      <w:keepNext/>
      <w:numPr>
        <w:ilvl w:val="3"/>
        <w:numId w:val="8"/>
      </w:numPr>
      <w:tabs>
        <w:tab w:val="left" w:pos="1701"/>
      </w:tabs>
      <w:spacing w:before="480" w:after="60" w:line="240" w:lineRule="auto"/>
      <w:outlineLvl w:val="3"/>
    </w:pPr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D06F7B"/>
    <w:pPr>
      <w:numPr>
        <w:ilvl w:val="4"/>
        <w:numId w:val="8"/>
      </w:numPr>
      <w:tabs>
        <w:tab w:val="left" w:pos="2665"/>
      </w:tabs>
      <w:spacing w:before="36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3E2"/>
    <w:pPr>
      <w:ind w:left="720"/>
      <w:contextualSpacing/>
    </w:pPr>
  </w:style>
  <w:style w:type="table" w:styleId="Mkatabulky">
    <w:name w:val="Table Grid"/>
    <w:basedOn w:val="Normlntabulka"/>
    <w:uiPriority w:val="59"/>
    <w:rsid w:val="001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5067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67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E7E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E7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FCE"/>
    <w:rPr>
      <w:rFonts w:ascii="Tahoma" w:hAnsi="Tahoma" w:cs="Tahoma"/>
      <w:sz w:val="16"/>
      <w:szCs w:val="16"/>
    </w:rPr>
  </w:style>
  <w:style w:type="paragraph" w:customStyle="1" w:styleId="odrkyChar">
    <w:name w:val="odrážky Char"/>
    <w:basedOn w:val="Zkladntextodsazen"/>
    <w:rsid w:val="003578B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1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480"/>
  </w:style>
  <w:style w:type="paragraph" w:styleId="Zpat">
    <w:name w:val="footer"/>
    <w:basedOn w:val="Normln"/>
    <w:link w:val="ZpatChar"/>
    <w:uiPriority w:val="99"/>
    <w:unhideWhenUsed/>
    <w:rsid w:val="0081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480"/>
  </w:style>
  <w:style w:type="character" w:customStyle="1" w:styleId="Nadpis1Char">
    <w:name w:val="Nadpis 1 Char"/>
    <w:aliases w:val="adpis 1 Char,kapitola Char"/>
    <w:basedOn w:val="Standardnpsmoodstavce"/>
    <w:link w:val="Nadpis1"/>
    <w:uiPriority w:val="9"/>
    <w:rsid w:val="00D06F7B"/>
    <w:rPr>
      <w:rFonts w:ascii="Arial" w:eastAsia="Times New Roman" w:hAnsi="Arial" w:cs="Arial"/>
      <w:b/>
      <w:bCs/>
      <w:smallCap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_2 Char,Heading 2 Char,adpis 2 Char,MANUÁL X.Y Char,2.úroveň Char,odstavec Char,2.úroveò Char,2.úroveo Char,Outline2 Char"/>
    <w:basedOn w:val="Standardnpsmoodstavce"/>
    <w:link w:val="Nadpis2"/>
    <w:uiPriority w:val="9"/>
    <w:rsid w:val="00D06F7B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Heading 3 Char,adpis 3 Char"/>
    <w:basedOn w:val="Standardnpsmoodstavce"/>
    <w:link w:val="Nadpis3"/>
    <w:uiPriority w:val="9"/>
    <w:rsid w:val="00D06F7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06F7B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06F7B"/>
    <w:rPr>
      <w:rFonts w:ascii="Arial" w:eastAsia="Times New Roman" w:hAnsi="Arial" w:cs="Times New Roman"/>
      <w:b/>
      <w:bCs/>
      <w:i/>
      <w:iCs/>
      <w:sz w:val="24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B7B7-E1B1-47DC-BC2F-7AEC78FC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Šiřinová Kristýna</dc:creator>
  <cp:lastModifiedBy>Pavlas Adam</cp:lastModifiedBy>
  <cp:revision>2</cp:revision>
  <cp:lastPrinted>2020-06-04T14:02:00Z</cp:lastPrinted>
  <dcterms:created xsi:type="dcterms:W3CDTF">2024-11-19T11:25:00Z</dcterms:created>
  <dcterms:modified xsi:type="dcterms:W3CDTF">2024-11-19T11:25:00Z</dcterms:modified>
</cp:coreProperties>
</file>