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36FC1" w14:textId="2965526E" w:rsidR="00B95672" w:rsidRPr="00B95672" w:rsidRDefault="00B95672" w:rsidP="00B95672">
      <w:pPr>
        <w:spacing w:line="240" w:lineRule="auto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B95672">
        <w:rPr>
          <w:rFonts w:ascii="Times New Roman" w:hAnsi="Times New Roman" w:cs="Times New Roman"/>
          <w:b/>
          <w:bCs/>
          <w:sz w:val="36"/>
          <w:szCs w:val="36"/>
        </w:rPr>
        <w:t>Důvodová zpráva</w:t>
      </w:r>
    </w:p>
    <w:p w14:paraId="778C9F27" w14:textId="74804053" w:rsidR="007A7610" w:rsidRPr="00063020" w:rsidRDefault="00A507C5" w:rsidP="007A7610">
      <w:pPr>
        <w:pStyle w:val="Odstavecseseznamem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3020">
        <w:rPr>
          <w:rFonts w:ascii="Times New Roman" w:hAnsi="Times New Roman" w:cs="Times New Roman"/>
          <w:b/>
          <w:bCs/>
          <w:sz w:val="24"/>
          <w:szCs w:val="24"/>
        </w:rPr>
        <w:t xml:space="preserve">Návrh na záměr města prodat </w:t>
      </w:r>
      <w:r w:rsidR="00280F5B" w:rsidRPr="00063020">
        <w:rPr>
          <w:rFonts w:ascii="Times New Roman" w:hAnsi="Times New Roman" w:cs="Times New Roman"/>
          <w:b/>
          <w:bCs/>
          <w:sz w:val="24"/>
          <w:szCs w:val="24"/>
        </w:rPr>
        <w:t xml:space="preserve">část </w:t>
      </w:r>
      <w:r w:rsidRPr="00063020">
        <w:rPr>
          <w:rFonts w:ascii="Times New Roman" w:hAnsi="Times New Roman" w:cs="Times New Roman"/>
          <w:b/>
          <w:bCs/>
          <w:sz w:val="24"/>
          <w:szCs w:val="24"/>
        </w:rPr>
        <w:t>pozem</w:t>
      </w:r>
      <w:r w:rsidR="00280F5B" w:rsidRPr="00063020">
        <w:rPr>
          <w:rFonts w:ascii="Times New Roman" w:hAnsi="Times New Roman" w:cs="Times New Roman"/>
          <w:b/>
          <w:bCs/>
          <w:sz w:val="24"/>
          <w:szCs w:val="24"/>
        </w:rPr>
        <w:t>ku</w:t>
      </w:r>
      <w:r w:rsidRPr="00063020">
        <w:rPr>
          <w:rFonts w:ascii="Times New Roman" w:hAnsi="Times New Roman" w:cs="Times New Roman"/>
          <w:b/>
          <w:bCs/>
          <w:sz w:val="24"/>
          <w:szCs w:val="24"/>
        </w:rPr>
        <w:t xml:space="preserve"> parc. č. </w:t>
      </w:r>
      <w:r w:rsidR="009410B2" w:rsidRPr="00063020">
        <w:rPr>
          <w:rFonts w:ascii="Times New Roman" w:hAnsi="Times New Roman" w:cs="Times New Roman"/>
          <w:b/>
          <w:bCs/>
          <w:sz w:val="24"/>
          <w:szCs w:val="24"/>
        </w:rPr>
        <w:t>1913</w:t>
      </w:r>
      <w:r w:rsidRPr="0006302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21860" w:rsidRPr="00063020">
        <w:rPr>
          <w:rFonts w:ascii="Times New Roman" w:hAnsi="Times New Roman" w:cs="Times New Roman"/>
          <w:b/>
          <w:bCs/>
          <w:sz w:val="24"/>
          <w:szCs w:val="24"/>
        </w:rPr>
        <w:t>trvalý travní porost</w:t>
      </w:r>
      <w:r w:rsidR="009E169B" w:rsidRPr="0006302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63020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143FD5" w:rsidRPr="0006302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063020">
        <w:rPr>
          <w:rFonts w:ascii="Times New Roman" w:hAnsi="Times New Roman" w:cs="Times New Roman"/>
          <w:b/>
          <w:bCs/>
          <w:sz w:val="24"/>
          <w:szCs w:val="24"/>
        </w:rPr>
        <w:t xml:space="preserve">výměře </w:t>
      </w:r>
      <w:r w:rsidR="00321860" w:rsidRPr="00063020">
        <w:rPr>
          <w:rFonts w:ascii="Times New Roman" w:hAnsi="Times New Roman" w:cs="Times New Roman"/>
          <w:b/>
          <w:bCs/>
          <w:sz w:val="24"/>
          <w:szCs w:val="24"/>
        </w:rPr>
        <w:t>96</w:t>
      </w:r>
      <w:r w:rsidR="00280F5B" w:rsidRPr="000630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3020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063020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 w:rsidR="00280F5B" w:rsidRPr="00063020">
        <w:rPr>
          <w:rFonts w:ascii="Times New Roman" w:hAnsi="Times New Roman" w:cs="Times New Roman"/>
          <w:b/>
          <w:bCs/>
          <w:sz w:val="24"/>
          <w:szCs w:val="24"/>
        </w:rPr>
        <w:t xml:space="preserve">, oddělena geometrickým plánem, nově označena jako pozemek </w:t>
      </w:r>
      <w:r w:rsidR="009E169B" w:rsidRPr="00063020">
        <w:rPr>
          <w:rFonts w:ascii="Times New Roman" w:hAnsi="Times New Roman" w:cs="Times New Roman"/>
          <w:b/>
          <w:bCs/>
          <w:sz w:val="24"/>
          <w:szCs w:val="24"/>
        </w:rPr>
        <w:t xml:space="preserve">parc. č. </w:t>
      </w:r>
      <w:r w:rsidR="00321860" w:rsidRPr="00063020">
        <w:rPr>
          <w:rFonts w:ascii="Times New Roman" w:hAnsi="Times New Roman" w:cs="Times New Roman"/>
          <w:b/>
          <w:bCs/>
          <w:sz w:val="24"/>
          <w:szCs w:val="24"/>
        </w:rPr>
        <w:t>1913/2</w:t>
      </w:r>
      <w:r w:rsidR="009E169B" w:rsidRPr="00063020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21860" w:rsidRPr="00063020">
        <w:rPr>
          <w:rFonts w:ascii="Times New Roman" w:hAnsi="Times New Roman" w:cs="Times New Roman"/>
          <w:b/>
          <w:bCs/>
          <w:sz w:val="24"/>
          <w:szCs w:val="24"/>
        </w:rPr>
        <w:t>trvalý travní porost,</w:t>
      </w:r>
      <w:r w:rsidR="009E169B" w:rsidRPr="000630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63020">
        <w:rPr>
          <w:rFonts w:ascii="Times New Roman" w:hAnsi="Times New Roman" w:cs="Times New Roman"/>
          <w:b/>
          <w:bCs/>
          <w:sz w:val="24"/>
          <w:szCs w:val="24"/>
        </w:rPr>
        <w:t xml:space="preserve">v k.ú. </w:t>
      </w:r>
      <w:r w:rsidR="00321860" w:rsidRPr="00063020">
        <w:rPr>
          <w:rFonts w:ascii="Times New Roman" w:hAnsi="Times New Roman" w:cs="Times New Roman"/>
          <w:b/>
          <w:bCs/>
          <w:sz w:val="24"/>
          <w:szCs w:val="24"/>
        </w:rPr>
        <w:t>Koblov</w:t>
      </w:r>
      <w:r w:rsidRPr="00063020">
        <w:rPr>
          <w:rFonts w:ascii="Times New Roman" w:hAnsi="Times New Roman" w:cs="Times New Roman"/>
          <w:b/>
          <w:bCs/>
          <w:sz w:val="24"/>
          <w:szCs w:val="24"/>
        </w:rPr>
        <w:t>, obec Ostrava, ve vlastnictví statuárního města Ostrava, svěřen</w:t>
      </w:r>
      <w:r w:rsidR="009E169B" w:rsidRPr="00063020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063020">
        <w:rPr>
          <w:rFonts w:ascii="Times New Roman" w:hAnsi="Times New Roman" w:cs="Times New Roman"/>
          <w:b/>
          <w:bCs/>
          <w:sz w:val="24"/>
          <w:szCs w:val="24"/>
        </w:rPr>
        <w:t xml:space="preserve"> městskému obvodu Slezská Ostrava</w:t>
      </w:r>
      <w:r w:rsidR="007A7610" w:rsidRPr="00063020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6A0F63E0" w14:textId="48F7C67E" w:rsidR="00A507C5" w:rsidRPr="00063020" w:rsidRDefault="007A7610" w:rsidP="007A7610">
      <w:pPr>
        <w:pStyle w:val="Odstavecseseznamem"/>
        <w:numPr>
          <w:ilvl w:val="0"/>
          <w:numId w:val="2"/>
        </w:numPr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3020">
        <w:rPr>
          <w:rFonts w:ascii="Times New Roman" w:hAnsi="Times New Roman" w:cs="Times New Roman"/>
          <w:b/>
          <w:bCs/>
          <w:sz w:val="24"/>
          <w:szCs w:val="24"/>
        </w:rPr>
        <w:t xml:space="preserve">Účelem je sjednocení vlastnictví s pozemky ve vlastnictví žadatele, který má na předmětné části pozemku </w:t>
      </w:r>
      <w:bookmarkStart w:id="0" w:name="_Hlk165620540"/>
      <w:r w:rsidR="00143FD5" w:rsidRPr="000630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parkovou úpravu a </w:t>
      </w:r>
      <w:r w:rsidRPr="000630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vybudovan</w:t>
      </w:r>
      <w:r w:rsidR="00321860" w:rsidRPr="000630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ý</w:t>
      </w:r>
      <w:r w:rsidRPr="000630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="00143FD5" w:rsidRPr="000630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sjezd a </w:t>
      </w:r>
      <w:r w:rsidR="00321860" w:rsidRPr="000630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nájezd </w:t>
      </w:r>
      <w:r w:rsidR="00143FD5" w:rsidRPr="000630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z/na </w:t>
      </w:r>
      <w:r w:rsidR="00321860" w:rsidRPr="000630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místní komunikaci ulice Antošovická</w:t>
      </w:r>
      <w:r w:rsidR="00143FD5" w:rsidRPr="00063020">
        <w:rPr>
          <w:rFonts w:ascii="Times New Roman" w:hAnsi="Times New Roman" w:cs="Times New Roman"/>
          <w:b/>
          <w:sz w:val="24"/>
          <w:szCs w:val="24"/>
        </w:rPr>
        <w:t>.</w:t>
      </w:r>
    </w:p>
    <w:bookmarkEnd w:id="0"/>
    <w:p w14:paraId="0CFDD306" w14:textId="460817DB" w:rsidR="007A7610" w:rsidRPr="00063020" w:rsidRDefault="007A7610" w:rsidP="00143FD5">
      <w:pPr>
        <w:spacing w:after="0" w:line="259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74BCC" w14:textId="77777777" w:rsidR="00943ED9" w:rsidRPr="00943ED9" w:rsidRDefault="00943ED9" w:rsidP="00063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943ED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Projednáno v radě města</w:t>
      </w:r>
    </w:p>
    <w:p w14:paraId="3F23F617" w14:textId="77777777" w:rsidR="00943ED9" w:rsidRPr="00063020" w:rsidRDefault="00943ED9" w:rsidP="0006302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  <w:r w:rsidRPr="00943ED9">
        <w:rPr>
          <w:rFonts w:ascii="Times New Roman" w:hAnsi="Times New Roman" w:cs="Times New Roman"/>
          <w:bCs/>
          <w:sz w:val="24"/>
          <w:szCs w:val="24"/>
        </w:rPr>
        <w:t xml:space="preserve">Rada města dne 28. 5. 2024 svým usnesením </w:t>
      </w:r>
      <w:r w:rsidRPr="00063020"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  <w:t>souhlasila s návrhem na záměr města prodat část výše uvedené nemovité věci, tak jak je uvedeno v bodu 1) návrhu usnesení.</w:t>
      </w:r>
    </w:p>
    <w:p w14:paraId="6A261C3F" w14:textId="77777777" w:rsidR="008308CC" w:rsidRPr="00063020" w:rsidRDefault="008308CC" w:rsidP="0006302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cs-CZ"/>
        </w:rPr>
      </w:pPr>
    </w:p>
    <w:p w14:paraId="53167A65" w14:textId="77777777" w:rsidR="008308CC" w:rsidRPr="00063020" w:rsidRDefault="008308CC" w:rsidP="0006302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0630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 xml:space="preserve">Předmět      </w:t>
      </w:r>
    </w:p>
    <w:p w14:paraId="4C97483C" w14:textId="5EC95C26" w:rsidR="009E169B" w:rsidRPr="00063020" w:rsidRDefault="001E0EFE" w:rsidP="00063020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3020">
        <w:rPr>
          <w:rFonts w:ascii="Times New Roman" w:eastAsia="Times New Roman" w:hAnsi="Times New Roman" w:cs="Times New Roman"/>
          <w:sz w:val="24"/>
          <w:szCs w:val="24"/>
          <w:lang w:eastAsia="cs-CZ"/>
        </w:rPr>
        <w:t>Část p</w:t>
      </w:r>
      <w:r w:rsidR="008308CC" w:rsidRPr="00063020">
        <w:rPr>
          <w:rFonts w:ascii="Times New Roman" w:eastAsia="Times New Roman" w:hAnsi="Times New Roman" w:cs="Times New Roman"/>
          <w:sz w:val="24"/>
          <w:szCs w:val="24"/>
          <w:lang w:eastAsia="cs-CZ"/>
        </w:rPr>
        <w:t>ozem</w:t>
      </w:r>
      <w:r w:rsidRPr="00063020">
        <w:rPr>
          <w:rFonts w:ascii="Times New Roman" w:eastAsia="Times New Roman" w:hAnsi="Times New Roman" w:cs="Times New Roman"/>
          <w:sz w:val="24"/>
          <w:szCs w:val="24"/>
          <w:lang w:eastAsia="cs-CZ"/>
        </w:rPr>
        <w:t>ku</w:t>
      </w:r>
      <w:r w:rsidR="008308CC" w:rsidRPr="00063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</w:t>
      </w:r>
      <w:r w:rsidR="00A507C5" w:rsidRPr="00063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arc. č. </w:t>
      </w:r>
      <w:r w:rsidR="00143FD5" w:rsidRPr="00063020">
        <w:rPr>
          <w:rFonts w:ascii="Times New Roman" w:eastAsia="Times New Roman" w:hAnsi="Times New Roman" w:cs="Times New Roman"/>
          <w:sz w:val="24"/>
          <w:szCs w:val="24"/>
          <w:lang w:eastAsia="cs-CZ"/>
        </w:rPr>
        <w:t>1913</w:t>
      </w:r>
      <w:r w:rsidR="008308CC" w:rsidRPr="00063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143FD5" w:rsidRPr="00063020">
        <w:rPr>
          <w:rFonts w:ascii="Times New Roman" w:eastAsia="Times New Roman" w:hAnsi="Times New Roman" w:cs="Times New Roman"/>
          <w:sz w:val="24"/>
          <w:szCs w:val="24"/>
          <w:lang w:eastAsia="cs-CZ"/>
        </w:rPr>
        <w:t>trvalý travní porost</w:t>
      </w:r>
      <w:r w:rsidR="008308CC" w:rsidRPr="00063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9E169B" w:rsidRPr="00063020">
        <w:rPr>
          <w:rFonts w:ascii="Times New Roman" w:hAnsi="Times New Roman" w:cs="Times New Roman"/>
          <w:sz w:val="24"/>
          <w:szCs w:val="24"/>
        </w:rPr>
        <w:t xml:space="preserve">o výměře </w:t>
      </w:r>
      <w:r w:rsidR="00143FD5" w:rsidRPr="00063020">
        <w:rPr>
          <w:rFonts w:ascii="Times New Roman" w:hAnsi="Times New Roman" w:cs="Times New Roman"/>
          <w:sz w:val="24"/>
          <w:szCs w:val="24"/>
        </w:rPr>
        <w:t>96</w:t>
      </w:r>
      <w:r w:rsidR="009E169B" w:rsidRPr="00063020">
        <w:rPr>
          <w:rFonts w:ascii="Times New Roman" w:hAnsi="Times New Roman" w:cs="Times New Roman"/>
          <w:sz w:val="24"/>
          <w:szCs w:val="24"/>
        </w:rPr>
        <w:t xml:space="preserve"> m</w:t>
      </w:r>
      <w:r w:rsidR="009E169B" w:rsidRPr="00063020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E169B" w:rsidRPr="00063020">
        <w:rPr>
          <w:rFonts w:ascii="Times New Roman" w:hAnsi="Times New Roman" w:cs="Times New Roman"/>
          <w:sz w:val="24"/>
          <w:szCs w:val="24"/>
        </w:rPr>
        <w:t>, oddělena geometrickým plánem</w:t>
      </w:r>
      <w:r w:rsidR="00FC7E0B" w:rsidRPr="00063020">
        <w:rPr>
          <w:rFonts w:ascii="Times New Roman" w:hAnsi="Times New Roman" w:cs="Times New Roman"/>
          <w:sz w:val="24"/>
          <w:szCs w:val="24"/>
        </w:rPr>
        <w:t xml:space="preserve"> č.</w:t>
      </w:r>
      <w:r w:rsidR="001C1091" w:rsidRPr="00063020">
        <w:rPr>
          <w:rFonts w:ascii="Times New Roman" w:hAnsi="Times New Roman" w:cs="Times New Roman"/>
          <w:sz w:val="24"/>
          <w:szCs w:val="24"/>
        </w:rPr>
        <w:t> </w:t>
      </w:r>
      <w:r w:rsidR="009551EC" w:rsidRPr="00063020">
        <w:rPr>
          <w:rFonts w:ascii="Times New Roman" w:hAnsi="Times New Roman" w:cs="Times New Roman"/>
          <w:sz w:val="24"/>
          <w:szCs w:val="24"/>
        </w:rPr>
        <w:t>1142</w:t>
      </w:r>
      <w:r w:rsidR="00FC7E0B" w:rsidRPr="00063020">
        <w:rPr>
          <w:rFonts w:ascii="Times New Roman" w:hAnsi="Times New Roman" w:cs="Times New Roman"/>
          <w:sz w:val="24"/>
          <w:szCs w:val="24"/>
        </w:rPr>
        <w:t>-</w:t>
      </w:r>
      <w:r w:rsidR="009551EC" w:rsidRPr="00063020">
        <w:rPr>
          <w:rFonts w:ascii="Times New Roman" w:hAnsi="Times New Roman" w:cs="Times New Roman"/>
          <w:sz w:val="24"/>
          <w:szCs w:val="24"/>
        </w:rPr>
        <w:t>16</w:t>
      </w:r>
      <w:r w:rsidR="00FC7E0B" w:rsidRPr="00063020">
        <w:rPr>
          <w:rFonts w:ascii="Times New Roman" w:hAnsi="Times New Roman" w:cs="Times New Roman"/>
          <w:sz w:val="24"/>
          <w:szCs w:val="24"/>
        </w:rPr>
        <w:t>/</w:t>
      </w:r>
      <w:r w:rsidR="009551EC" w:rsidRPr="00063020">
        <w:rPr>
          <w:rFonts w:ascii="Times New Roman" w:hAnsi="Times New Roman" w:cs="Times New Roman"/>
          <w:sz w:val="24"/>
          <w:szCs w:val="24"/>
        </w:rPr>
        <w:t>2014</w:t>
      </w:r>
      <w:r w:rsidR="00FC7E0B" w:rsidRPr="00063020">
        <w:rPr>
          <w:rFonts w:ascii="Times New Roman" w:hAnsi="Times New Roman" w:cs="Times New Roman"/>
          <w:sz w:val="24"/>
          <w:szCs w:val="24"/>
        </w:rPr>
        <w:t xml:space="preserve"> a</w:t>
      </w:r>
      <w:r w:rsidR="009E169B" w:rsidRPr="00063020">
        <w:rPr>
          <w:rFonts w:ascii="Times New Roman" w:hAnsi="Times New Roman" w:cs="Times New Roman"/>
          <w:sz w:val="24"/>
          <w:szCs w:val="24"/>
        </w:rPr>
        <w:t xml:space="preserve"> nově označena jako pozemek parc. č. </w:t>
      </w:r>
      <w:r w:rsidR="009551EC" w:rsidRPr="00063020">
        <w:rPr>
          <w:rFonts w:ascii="Times New Roman" w:hAnsi="Times New Roman" w:cs="Times New Roman"/>
          <w:sz w:val="24"/>
          <w:szCs w:val="24"/>
        </w:rPr>
        <w:t>1913/2</w:t>
      </w:r>
      <w:r w:rsidR="009E169B" w:rsidRPr="00063020">
        <w:rPr>
          <w:rFonts w:ascii="Times New Roman" w:hAnsi="Times New Roman" w:cs="Times New Roman"/>
          <w:sz w:val="24"/>
          <w:szCs w:val="24"/>
        </w:rPr>
        <w:t xml:space="preserve">, </w:t>
      </w:r>
      <w:r w:rsidR="009551EC" w:rsidRPr="00063020">
        <w:rPr>
          <w:rFonts w:ascii="Times New Roman" w:hAnsi="Times New Roman" w:cs="Times New Roman"/>
          <w:sz w:val="24"/>
          <w:szCs w:val="24"/>
        </w:rPr>
        <w:t>trvalý travní porost</w:t>
      </w:r>
      <w:r w:rsidR="009E169B" w:rsidRPr="00063020">
        <w:rPr>
          <w:rFonts w:ascii="Times New Roman" w:hAnsi="Times New Roman" w:cs="Times New Roman"/>
          <w:sz w:val="24"/>
          <w:szCs w:val="24"/>
        </w:rPr>
        <w:t xml:space="preserve"> v k.ú. </w:t>
      </w:r>
      <w:r w:rsidR="009551EC" w:rsidRPr="00063020">
        <w:rPr>
          <w:rFonts w:ascii="Times New Roman" w:hAnsi="Times New Roman" w:cs="Times New Roman"/>
          <w:sz w:val="24"/>
          <w:szCs w:val="24"/>
        </w:rPr>
        <w:t>Koblov</w:t>
      </w:r>
      <w:r w:rsidR="009E169B" w:rsidRPr="00063020">
        <w:rPr>
          <w:rFonts w:ascii="Times New Roman" w:hAnsi="Times New Roman" w:cs="Times New Roman"/>
          <w:sz w:val="24"/>
          <w:szCs w:val="24"/>
        </w:rPr>
        <w:t>, obec Ostrava, ve vlastnictví statu</w:t>
      </w:r>
      <w:r w:rsidR="006B4DE8" w:rsidRPr="00063020">
        <w:rPr>
          <w:rFonts w:ascii="Times New Roman" w:hAnsi="Times New Roman" w:cs="Times New Roman"/>
          <w:sz w:val="24"/>
          <w:szCs w:val="24"/>
        </w:rPr>
        <w:t>t</w:t>
      </w:r>
      <w:r w:rsidR="009E169B" w:rsidRPr="00063020">
        <w:rPr>
          <w:rFonts w:ascii="Times New Roman" w:hAnsi="Times New Roman" w:cs="Times New Roman"/>
          <w:sz w:val="24"/>
          <w:szCs w:val="24"/>
        </w:rPr>
        <w:t>árního města Ostrava, svěřena městskému obvodu Slezská Ostrava</w:t>
      </w:r>
      <w:r w:rsidR="00FC7E0B" w:rsidRPr="00063020">
        <w:rPr>
          <w:rFonts w:ascii="Times New Roman" w:hAnsi="Times New Roman" w:cs="Times New Roman"/>
          <w:sz w:val="24"/>
          <w:szCs w:val="24"/>
        </w:rPr>
        <w:t xml:space="preserve"> (viz</w:t>
      </w:r>
      <w:r w:rsidR="00844673" w:rsidRPr="00063020">
        <w:rPr>
          <w:rFonts w:ascii="Times New Roman" w:hAnsi="Times New Roman" w:cs="Times New Roman"/>
          <w:sz w:val="24"/>
          <w:szCs w:val="24"/>
        </w:rPr>
        <w:t> </w:t>
      </w:r>
      <w:r w:rsidR="00FC7E0B" w:rsidRPr="00063020">
        <w:rPr>
          <w:rFonts w:ascii="Times New Roman" w:hAnsi="Times New Roman" w:cs="Times New Roman"/>
          <w:sz w:val="24"/>
          <w:szCs w:val="24"/>
        </w:rPr>
        <w:t>příloha č. 1.3)</w:t>
      </w:r>
      <w:r w:rsidR="009E169B" w:rsidRPr="00063020">
        <w:rPr>
          <w:rFonts w:ascii="Times New Roman" w:hAnsi="Times New Roman" w:cs="Times New Roman"/>
          <w:sz w:val="24"/>
          <w:szCs w:val="24"/>
        </w:rPr>
        <w:t>.</w:t>
      </w:r>
    </w:p>
    <w:p w14:paraId="7A5F5B8D" w14:textId="62BB00FC" w:rsidR="008308CC" w:rsidRPr="00063020" w:rsidRDefault="008308CC" w:rsidP="0006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8794BB4" w14:textId="10A1B07D" w:rsidR="008308CC" w:rsidRPr="00063020" w:rsidRDefault="008308CC" w:rsidP="0006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3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Předmětný pozemek se nachází </w:t>
      </w:r>
      <w:r w:rsidR="00FC7E0B" w:rsidRPr="00063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</w:t>
      </w:r>
      <w:r w:rsidRPr="00063020">
        <w:rPr>
          <w:rFonts w:ascii="Times New Roman" w:eastAsia="Times New Roman" w:hAnsi="Times New Roman" w:cs="Times New Roman"/>
          <w:sz w:val="24"/>
          <w:szCs w:val="24"/>
          <w:lang w:eastAsia="cs-CZ"/>
        </w:rPr>
        <w:t>ulice</w:t>
      </w:r>
      <w:r w:rsidR="0028418F" w:rsidRPr="00063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551EC" w:rsidRPr="00063020">
        <w:rPr>
          <w:rFonts w:ascii="Times New Roman" w:eastAsia="Times New Roman" w:hAnsi="Times New Roman" w:cs="Times New Roman"/>
          <w:sz w:val="24"/>
          <w:szCs w:val="24"/>
          <w:lang w:eastAsia="cs-CZ"/>
        </w:rPr>
        <w:t>Antošovická</w:t>
      </w:r>
      <w:r w:rsidRPr="00063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(viz příloha č. 1</w:t>
      </w:r>
      <w:r w:rsidR="00A507C5" w:rsidRPr="0006302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63020">
        <w:rPr>
          <w:rFonts w:ascii="Times New Roman" w:eastAsia="Times New Roman" w:hAnsi="Times New Roman" w:cs="Times New Roman"/>
          <w:sz w:val="24"/>
          <w:szCs w:val="24"/>
          <w:lang w:eastAsia="cs-CZ"/>
        </w:rPr>
        <w:t>1 a 1</w:t>
      </w:r>
      <w:r w:rsidR="00A507C5" w:rsidRPr="0006302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063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2). </w:t>
      </w:r>
    </w:p>
    <w:p w14:paraId="13F30CE4" w14:textId="77777777" w:rsidR="009E169B" w:rsidRPr="00063020" w:rsidRDefault="009E169B" w:rsidP="00063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6D5CF1DE" w14:textId="3B219F8F" w:rsidR="008308CC" w:rsidRPr="00063020" w:rsidRDefault="008308CC" w:rsidP="00063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0630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Žadatel</w:t>
      </w:r>
    </w:p>
    <w:p w14:paraId="21B7BA1A" w14:textId="1B6A6FB9" w:rsidR="008308CC" w:rsidRPr="00063020" w:rsidRDefault="002D570C" w:rsidP="0006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xxxxxxxxxxxxxxxxxxxxxxxxxxxxxxxxxxxxxxxxxxxxxxxxx</w:t>
      </w:r>
      <w:proofErr w:type="spellEnd"/>
      <w:r w:rsidR="008308CC" w:rsidRPr="000630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(viz příloha č. 1</w:t>
      </w:r>
      <w:r w:rsidR="00A507C5" w:rsidRPr="000630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  <w:r w:rsidR="009551EC" w:rsidRPr="000630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4</w:t>
      </w:r>
      <w:r w:rsidR="008308CC" w:rsidRPr="000630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). </w:t>
      </w:r>
    </w:p>
    <w:p w14:paraId="206B3304" w14:textId="77777777" w:rsidR="008308CC" w:rsidRPr="00063020" w:rsidRDefault="008308CC" w:rsidP="00063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4B90E370" w14:textId="77777777" w:rsidR="008308CC" w:rsidRPr="00063020" w:rsidRDefault="008308CC" w:rsidP="00063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0630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Účel</w:t>
      </w:r>
    </w:p>
    <w:p w14:paraId="1072285E" w14:textId="29794868" w:rsidR="008308CC" w:rsidRPr="00063020" w:rsidRDefault="008308CC" w:rsidP="000630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630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Žadatel požádal o prodej předmětné</w:t>
      </w:r>
      <w:r w:rsidR="0028418F" w:rsidRPr="000630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části</w:t>
      </w:r>
      <w:r w:rsidRPr="000630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pozemku </w:t>
      </w:r>
      <w:r w:rsidR="0028418F" w:rsidRPr="000630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za účelem sjednocení vlastnictví, neboť </w:t>
      </w:r>
      <w:r w:rsidR="00FC7E0B" w:rsidRPr="000630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má na této části pozemku </w:t>
      </w:r>
      <w:r w:rsidR="009551EC" w:rsidRPr="000630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zahradní úpravu a vybudovaný sjezd a nájezd z/na místní komunikaci ulice Antošovická.</w:t>
      </w:r>
      <w:r w:rsidR="00FC7E0B" w:rsidRPr="000630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E0C86" w:rsidRPr="000630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Žadatel je vlastníkem přilehl</w:t>
      </w:r>
      <w:r w:rsidR="00FC7E0B" w:rsidRPr="000630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ých</w:t>
      </w:r>
      <w:r w:rsidR="009E0C86" w:rsidRPr="000630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pozemk</w:t>
      </w:r>
      <w:r w:rsidR="00FC7E0B" w:rsidRPr="000630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ů</w:t>
      </w:r>
      <w:r w:rsidR="00DF708C" w:rsidRPr="000630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8C7A4F" w:rsidRPr="000630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parc. č. </w:t>
      </w:r>
      <w:r w:rsidR="009551EC" w:rsidRPr="000630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1909/1, parc.č. 1909/5 a p.č.</w:t>
      </w:r>
      <w:r w:rsidR="004A3758" w:rsidRPr="000630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st.</w:t>
      </w:r>
      <w:r w:rsidR="009551EC" w:rsidRPr="000630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1909/9, jehož součástí je rodinný dům č.p. 497</w:t>
      </w:r>
      <w:r w:rsidRPr="000630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7CBE061D" w14:textId="296521E9" w:rsidR="001D2F37" w:rsidRPr="00063020" w:rsidRDefault="001D2F37" w:rsidP="0006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5722938" w14:textId="553EF5B6" w:rsidR="008308CC" w:rsidRPr="00063020" w:rsidRDefault="008308CC" w:rsidP="00063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0630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Stanoviska</w:t>
      </w:r>
    </w:p>
    <w:p w14:paraId="0913CC38" w14:textId="4BEAF7DB" w:rsidR="00390A21" w:rsidRPr="00063020" w:rsidRDefault="008308CC" w:rsidP="00063020">
      <w:pPr>
        <w:pStyle w:val="mmoradkovani"/>
        <w:spacing w:line="240" w:lineRule="auto"/>
        <w:jc w:val="both"/>
        <w:rPr>
          <w:rFonts w:ascii="Times New Roman" w:hAnsi="Times New Roman"/>
          <w:color w:val="000000" w:themeColor="text1"/>
          <w:szCs w:val="24"/>
        </w:rPr>
      </w:pPr>
      <w:r w:rsidRPr="00063020">
        <w:rPr>
          <w:rFonts w:ascii="Times New Roman" w:hAnsi="Times New Roman"/>
          <w:b/>
          <w:i/>
          <w:szCs w:val="24"/>
        </w:rPr>
        <w:t xml:space="preserve">Zastupitelstvo městského obvodu Slezská Ostrava </w:t>
      </w:r>
      <w:r w:rsidRPr="00063020">
        <w:rPr>
          <w:rFonts w:ascii="Times New Roman" w:hAnsi="Times New Roman"/>
          <w:i/>
          <w:szCs w:val="24"/>
        </w:rPr>
        <w:t xml:space="preserve">– </w:t>
      </w:r>
      <w:r w:rsidRPr="00063020">
        <w:rPr>
          <w:rFonts w:ascii="Times New Roman" w:hAnsi="Times New Roman"/>
          <w:szCs w:val="24"/>
        </w:rPr>
        <w:t xml:space="preserve">vydalo </w:t>
      </w:r>
      <w:r w:rsidRPr="00063020">
        <w:rPr>
          <w:rFonts w:ascii="Times New Roman" w:hAnsi="Times New Roman"/>
          <w:b/>
          <w:szCs w:val="24"/>
        </w:rPr>
        <w:t>souhlasné stanovisko</w:t>
      </w:r>
      <w:r w:rsidRPr="00063020">
        <w:rPr>
          <w:rFonts w:ascii="Times New Roman" w:hAnsi="Times New Roman"/>
          <w:szCs w:val="24"/>
        </w:rPr>
        <w:t xml:space="preserve"> k záměru prodeje výše uvedené </w:t>
      </w:r>
      <w:r w:rsidR="00390A21" w:rsidRPr="00063020">
        <w:rPr>
          <w:rFonts w:ascii="Times New Roman" w:hAnsi="Times New Roman"/>
          <w:szCs w:val="24"/>
        </w:rPr>
        <w:t xml:space="preserve">části </w:t>
      </w:r>
      <w:r w:rsidRPr="00063020">
        <w:rPr>
          <w:rFonts w:ascii="Times New Roman" w:hAnsi="Times New Roman"/>
          <w:szCs w:val="24"/>
        </w:rPr>
        <w:t>nemovité věci</w:t>
      </w:r>
      <w:r w:rsidR="00390A21" w:rsidRPr="00063020">
        <w:rPr>
          <w:rFonts w:ascii="Times New Roman" w:hAnsi="Times New Roman"/>
          <w:szCs w:val="24"/>
        </w:rPr>
        <w:t xml:space="preserve">. </w:t>
      </w:r>
      <w:r w:rsidR="00390A21" w:rsidRPr="00063020">
        <w:rPr>
          <w:rFonts w:ascii="Times New Roman" w:hAnsi="Times New Roman"/>
          <w:color w:val="000000" w:themeColor="text1"/>
          <w:szCs w:val="24"/>
        </w:rPr>
        <w:t xml:space="preserve">MOb Slezská Ostrava dále informuje, že v současné době k dané části pozemku </w:t>
      </w:r>
      <w:r w:rsidR="00177AA7" w:rsidRPr="00063020">
        <w:rPr>
          <w:rFonts w:ascii="Times New Roman" w:hAnsi="Times New Roman"/>
          <w:color w:val="000000" w:themeColor="text1"/>
          <w:szCs w:val="24"/>
        </w:rPr>
        <w:t xml:space="preserve">není </w:t>
      </w:r>
      <w:r w:rsidR="00390A21" w:rsidRPr="00063020">
        <w:rPr>
          <w:rFonts w:ascii="Times New Roman" w:hAnsi="Times New Roman"/>
          <w:color w:val="000000" w:themeColor="text1"/>
          <w:szCs w:val="24"/>
        </w:rPr>
        <w:t>uzavřena nájemní smlouva (viz příloha č. 1/</w:t>
      </w:r>
      <w:r w:rsidR="009551EC" w:rsidRPr="00063020">
        <w:rPr>
          <w:rFonts w:ascii="Times New Roman" w:hAnsi="Times New Roman"/>
          <w:color w:val="000000" w:themeColor="text1"/>
          <w:szCs w:val="24"/>
        </w:rPr>
        <w:t>3</w:t>
      </w:r>
      <w:r w:rsidR="00390A21" w:rsidRPr="00063020">
        <w:rPr>
          <w:rFonts w:ascii="Times New Roman" w:hAnsi="Times New Roman"/>
          <w:color w:val="000000" w:themeColor="text1"/>
          <w:szCs w:val="24"/>
        </w:rPr>
        <w:t xml:space="preserve">).  </w:t>
      </w:r>
    </w:p>
    <w:p w14:paraId="37A43B63" w14:textId="5DEF0988" w:rsidR="008308CC" w:rsidRPr="00063020" w:rsidRDefault="008308CC" w:rsidP="0006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3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14:paraId="6171A8CB" w14:textId="4B1BA798" w:rsidR="008308CC" w:rsidRPr="00063020" w:rsidRDefault="008308CC" w:rsidP="0006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302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Odbor územního plánování a stavebního řádu</w:t>
      </w:r>
      <w:r w:rsidRPr="00063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– předmětn</w:t>
      </w:r>
      <w:r w:rsidR="00762EB3" w:rsidRPr="00063020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Pr="00063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62EB3" w:rsidRPr="00063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část </w:t>
      </w:r>
      <w:r w:rsidRPr="00063020">
        <w:rPr>
          <w:rFonts w:ascii="Times New Roman" w:eastAsia="Times New Roman" w:hAnsi="Times New Roman" w:cs="Times New Roman"/>
          <w:sz w:val="24"/>
          <w:szCs w:val="24"/>
          <w:lang w:eastAsia="cs-CZ"/>
        </w:rPr>
        <w:t>pozem</w:t>
      </w:r>
      <w:r w:rsidR="00762EB3" w:rsidRPr="00063020">
        <w:rPr>
          <w:rFonts w:ascii="Times New Roman" w:eastAsia="Times New Roman" w:hAnsi="Times New Roman" w:cs="Times New Roman"/>
          <w:sz w:val="24"/>
          <w:szCs w:val="24"/>
          <w:lang w:eastAsia="cs-CZ"/>
        </w:rPr>
        <w:t>ku</w:t>
      </w:r>
      <w:r w:rsidRPr="00063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součástí plochy se</w:t>
      </w:r>
      <w:r w:rsidR="00764D45" w:rsidRPr="0006302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063020">
        <w:rPr>
          <w:rFonts w:ascii="Times New Roman" w:eastAsia="Times New Roman" w:hAnsi="Times New Roman" w:cs="Times New Roman"/>
          <w:sz w:val="24"/>
          <w:szCs w:val="24"/>
          <w:lang w:eastAsia="cs-CZ"/>
        </w:rPr>
        <w:t>způsobem využití „</w:t>
      </w:r>
      <w:r w:rsidR="00177AA7" w:rsidRPr="00063020">
        <w:rPr>
          <w:rFonts w:ascii="Times New Roman" w:eastAsia="Times New Roman" w:hAnsi="Times New Roman" w:cs="Times New Roman"/>
          <w:sz w:val="24"/>
          <w:szCs w:val="24"/>
          <w:lang w:eastAsia="cs-CZ"/>
        </w:rPr>
        <w:t>Bydlení v rodinných domech</w:t>
      </w:r>
      <w:r w:rsidRPr="00063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“. </w:t>
      </w:r>
      <w:r w:rsidR="00D7327B" w:rsidRPr="00063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OÚPaSŘ </w:t>
      </w:r>
      <w:r w:rsidR="00A978C1" w:rsidRPr="00063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nemá </w:t>
      </w:r>
      <w:r w:rsidR="00D7327B" w:rsidRPr="00063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 prodeji </w:t>
      </w:r>
      <w:r w:rsidR="00762EB3" w:rsidRPr="00063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části </w:t>
      </w:r>
      <w:r w:rsidR="00D7327B" w:rsidRPr="00063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pozemku </w:t>
      </w:r>
      <w:r w:rsidR="00D7327B" w:rsidRPr="0006302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námitek</w:t>
      </w:r>
      <w:r w:rsidR="00D7327B" w:rsidRPr="00063020">
        <w:rPr>
          <w:rFonts w:ascii="Times New Roman" w:eastAsia="Times New Roman" w:hAnsi="Times New Roman" w:cs="Times New Roman"/>
          <w:sz w:val="24"/>
          <w:szCs w:val="24"/>
          <w:lang w:eastAsia="cs-CZ"/>
        </w:rPr>
        <w:t>, neboť daný záměr nemá vliv na koncepce sledované Územním plánem Ostravy.</w:t>
      </w:r>
      <w:r w:rsidRPr="00063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 </w:t>
      </w:r>
    </w:p>
    <w:p w14:paraId="6EE531DF" w14:textId="77777777" w:rsidR="00D83144" w:rsidRPr="00063020" w:rsidRDefault="00D83144" w:rsidP="00063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52A4AD02" w14:textId="48B44704" w:rsidR="00762EB3" w:rsidRPr="00063020" w:rsidRDefault="00D83144" w:rsidP="0006302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302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O</w:t>
      </w:r>
      <w:r w:rsidR="008308CC" w:rsidRPr="0006302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dbor strategického rozvoje</w:t>
      </w:r>
      <w:r w:rsidR="00177AA7" w:rsidRPr="0006302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>, o</w:t>
      </w:r>
      <w:r w:rsidR="00762EB3" w:rsidRPr="00063020"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  <w:t xml:space="preserve">dbor investiční </w:t>
      </w:r>
      <w:r w:rsidR="00762EB3" w:rsidRPr="00063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– </w:t>
      </w:r>
      <w:r w:rsidR="00762EB3" w:rsidRPr="000630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nemá námitek</w:t>
      </w:r>
      <w:r w:rsidR="00762EB3" w:rsidRPr="00063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 dané věci</w:t>
      </w:r>
      <w:r w:rsidR="00177AA7" w:rsidRPr="0006302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34524A" w:rsidRPr="00063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F7CAA7E" w14:textId="77777777" w:rsidR="00390A21" w:rsidRPr="00063020" w:rsidRDefault="00390A21" w:rsidP="00063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cs-CZ"/>
        </w:rPr>
      </w:pPr>
    </w:p>
    <w:p w14:paraId="1099EB3D" w14:textId="50695A89" w:rsidR="008308CC" w:rsidRPr="00063020" w:rsidRDefault="008308CC" w:rsidP="000630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063020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cs-CZ"/>
        </w:rPr>
        <w:t>Městský ateliér prostorového plánování a architektury, p.o.</w:t>
      </w:r>
      <w:r w:rsidRPr="000630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– </w:t>
      </w:r>
      <w:r w:rsidR="001D4441" w:rsidRPr="000630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souhlasí s</w:t>
      </w:r>
      <w:r w:rsidRPr="000630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prodej</w:t>
      </w:r>
      <w:r w:rsidR="001D4441" w:rsidRPr="000630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em</w:t>
      </w:r>
      <w:r w:rsidRPr="0006302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r w:rsidRPr="000630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výše uvedené</w:t>
      </w:r>
      <w:r w:rsidR="00896FD7" w:rsidRPr="000630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="00984ACF" w:rsidRPr="000630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části </w:t>
      </w:r>
      <w:r w:rsidR="00896FD7" w:rsidRPr="000630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nemovité věci</w:t>
      </w:r>
      <w:r w:rsidR="001D4441" w:rsidRPr="000630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.</w:t>
      </w:r>
    </w:p>
    <w:p w14:paraId="7C84A0AE" w14:textId="4F3556E6" w:rsidR="00044EAD" w:rsidRPr="00063020" w:rsidRDefault="008308CC" w:rsidP="00063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0630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 </w:t>
      </w:r>
    </w:p>
    <w:p w14:paraId="1F185EF2" w14:textId="67C7F165" w:rsidR="008308CC" w:rsidRPr="00063020" w:rsidRDefault="008308CC" w:rsidP="00063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  <w:r w:rsidRPr="000630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  <w:t xml:space="preserve">Inženýrské sítě </w:t>
      </w:r>
    </w:p>
    <w:p w14:paraId="5F97A685" w14:textId="1AEA0B84" w:rsidR="00065B9D" w:rsidRPr="00063020" w:rsidRDefault="00065B9D" w:rsidP="00063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  <w:r w:rsidRPr="00063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Dle informace MOb Slezská Ostrava se v předmětn</w:t>
      </w:r>
      <w:r w:rsidR="00027813" w:rsidRPr="00063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ém</w:t>
      </w:r>
      <w:r w:rsidRPr="00063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pozem</w:t>
      </w:r>
      <w:r w:rsidR="00027813" w:rsidRPr="00063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ku</w:t>
      </w:r>
      <w:r w:rsidRPr="00063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nacház</w:t>
      </w:r>
      <w:r w:rsidR="00027813" w:rsidRPr="00063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ejí</w:t>
      </w:r>
      <w:r w:rsidRPr="00063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 inženýrské sítě, a</w:t>
      </w:r>
      <w:r w:rsidR="00027813" w:rsidRPr="00063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Pr="00063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to: </w:t>
      </w:r>
      <w:r w:rsidR="00044EAD" w:rsidRPr="00063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veřejné osvětlení </w:t>
      </w:r>
      <w:r w:rsidR="00027813" w:rsidRPr="00063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(</w:t>
      </w:r>
      <w:r w:rsidR="00487CBD" w:rsidRPr="00063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správce Ostravské </w:t>
      </w:r>
      <w:r w:rsidR="00044EAD" w:rsidRPr="00063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komunikace, a.s.</w:t>
      </w:r>
      <w:r w:rsidR="00027813" w:rsidRPr="00063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), </w:t>
      </w:r>
      <w:r w:rsidR="00044EAD" w:rsidRPr="00063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kanalizační stoka (neznámý vlastník), </w:t>
      </w:r>
      <w:r w:rsidRPr="00063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el</w:t>
      </w:r>
      <w:r w:rsidR="00487CBD" w:rsidRPr="00063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. vedení </w:t>
      </w:r>
      <w:r w:rsidRPr="00063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NN (ve</w:t>
      </w:r>
      <w:r w:rsidR="00044EAD" w:rsidRPr="00063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 </w:t>
      </w:r>
      <w:r w:rsidRPr="00063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 xml:space="preserve">vlastnictví </w:t>
      </w:r>
      <w:r w:rsidR="00044EAD" w:rsidRPr="00063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ČEZ Distribuce, a.s.</w:t>
      </w:r>
      <w:r w:rsidRPr="00063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)</w:t>
      </w:r>
      <w:r w:rsidR="00044EAD" w:rsidRPr="000630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  <w:t>, síť elektronické komunikace (ve vlastnictví CETIN a.s.), plynovodní řad STL (ve vlastnictví GasNet, s.r.o.).</w:t>
      </w:r>
    </w:p>
    <w:p w14:paraId="61C315DC" w14:textId="77777777" w:rsidR="00027813" w:rsidRPr="00063020" w:rsidRDefault="00027813" w:rsidP="000630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cs-CZ"/>
        </w:rPr>
      </w:pPr>
    </w:p>
    <w:p w14:paraId="08E937AE" w14:textId="77777777" w:rsidR="00044EAD" w:rsidRPr="00063020" w:rsidRDefault="00044EAD" w:rsidP="00063020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  <w:r w:rsidRPr="000630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Příslušnost rozhodování</w:t>
      </w:r>
    </w:p>
    <w:p w14:paraId="4C02E0E3" w14:textId="472DB8D8" w:rsidR="008308CC" w:rsidRPr="00063020" w:rsidRDefault="00044EAD" w:rsidP="00063020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630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případě, že zastupitelstvo města rozhodne o záměru prodeje, bude dle čl. 7 odst. (3) písm. b) obecně závazné vyhlášky č. 10/2022, Statutu města Ostravy, ve znění pozdějších změn a doplňků, o prodeji rozhodovat zastupitelstvo městského obvodu Slezská Ostrava. </w:t>
      </w:r>
    </w:p>
    <w:p w14:paraId="66C99291" w14:textId="77777777" w:rsidR="002D570C" w:rsidRDefault="002D570C" w:rsidP="00063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</w:pPr>
    </w:p>
    <w:p w14:paraId="6E750C67" w14:textId="5D4CCFB7" w:rsidR="00063020" w:rsidRPr="00063020" w:rsidRDefault="00063020" w:rsidP="000630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eastAsia="cs-CZ"/>
        </w:rPr>
      </w:pPr>
      <w:r w:rsidRPr="000630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t>Upozornění</w:t>
      </w:r>
      <w:r w:rsidRPr="0006302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cs-CZ"/>
        </w:rPr>
        <w:br/>
      </w:r>
      <w:r w:rsidRPr="00063020">
        <w:rPr>
          <w:rFonts w:ascii="Times New Roman" w:eastAsia="Times New Roman" w:hAnsi="Times New Roman" w:cs="Times New Roman"/>
          <w:sz w:val="24"/>
          <w:szCs w:val="24"/>
          <w:lang w:eastAsia="cs-CZ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</w:t>
      </w:r>
    </w:p>
    <w:p w14:paraId="1B69BFA2" w14:textId="77777777" w:rsidR="00063020" w:rsidRPr="00932963" w:rsidRDefault="00063020" w:rsidP="00063020">
      <w:pPr>
        <w:spacing w:after="0" w:line="240" w:lineRule="auto"/>
        <w:rPr>
          <w:rFonts w:ascii="Times New Roman" w:eastAsia="Times New Roman" w:hAnsi="Times New Roman" w:cs="Times New Roman"/>
          <w:b/>
          <w:bCs/>
          <w:u w:val="single"/>
          <w:lang w:eastAsia="cs-CZ"/>
        </w:rPr>
      </w:pPr>
    </w:p>
    <w:p w14:paraId="39759229" w14:textId="77777777" w:rsidR="00063020" w:rsidRPr="00044EAD" w:rsidRDefault="00063020" w:rsidP="00044EAD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sectPr w:rsidR="00063020" w:rsidRPr="00044EAD" w:rsidSect="00044EAD">
      <w:footerReference w:type="default" r:id="rId7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CF281" w14:textId="77777777" w:rsidR="00753708" w:rsidRDefault="00764D45">
      <w:pPr>
        <w:spacing w:after="0" w:line="240" w:lineRule="auto"/>
      </w:pPr>
      <w:r>
        <w:separator/>
      </w:r>
    </w:p>
  </w:endnote>
  <w:endnote w:type="continuationSeparator" w:id="0">
    <w:p w14:paraId="7E7B9644" w14:textId="77777777" w:rsidR="00753708" w:rsidRDefault="0076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43344377"/>
      <w:docPartObj>
        <w:docPartGallery w:val="Page Numbers (Bottom of Page)"/>
        <w:docPartUnique/>
      </w:docPartObj>
    </w:sdtPr>
    <w:sdtEndPr/>
    <w:sdtContent>
      <w:p w14:paraId="46FD0274" w14:textId="77777777" w:rsidR="00BD595E" w:rsidRDefault="00B95672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353FE5E" w14:textId="77777777" w:rsidR="00BD595E" w:rsidRDefault="00BD59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879855" w14:textId="77777777" w:rsidR="00753708" w:rsidRDefault="00764D45">
      <w:pPr>
        <w:spacing w:after="0" w:line="240" w:lineRule="auto"/>
      </w:pPr>
      <w:r>
        <w:separator/>
      </w:r>
    </w:p>
  </w:footnote>
  <w:footnote w:type="continuationSeparator" w:id="0">
    <w:p w14:paraId="10D0ACEC" w14:textId="77777777" w:rsidR="00753708" w:rsidRDefault="00764D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407BF"/>
    <w:multiLevelType w:val="hybridMultilevel"/>
    <w:tmpl w:val="B59466E0"/>
    <w:lvl w:ilvl="0" w:tplc="72FA3C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3664D"/>
    <w:multiLevelType w:val="hybridMultilevel"/>
    <w:tmpl w:val="F252FE9C"/>
    <w:lvl w:ilvl="0" w:tplc="0616C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401383">
    <w:abstractNumId w:val="1"/>
  </w:num>
  <w:num w:numId="2" w16cid:durableId="1780837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672"/>
    <w:rsid w:val="000060B5"/>
    <w:rsid w:val="000220B4"/>
    <w:rsid w:val="00023EE4"/>
    <w:rsid w:val="00026329"/>
    <w:rsid w:val="0002680E"/>
    <w:rsid w:val="00027813"/>
    <w:rsid w:val="000279D2"/>
    <w:rsid w:val="00044EAD"/>
    <w:rsid w:val="0004764F"/>
    <w:rsid w:val="00063020"/>
    <w:rsid w:val="00065B9D"/>
    <w:rsid w:val="000C4A8E"/>
    <w:rsid w:val="000F7CC8"/>
    <w:rsid w:val="0011229A"/>
    <w:rsid w:val="00143FD5"/>
    <w:rsid w:val="00177AA7"/>
    <w:rsid w:val="00186705"/>
    <w:rsid w:val="00191F8C"/>
    <w:rsid w:val="001B11DC"/>
    <w:rsid w:val="001C1091"/>
    <w:rsid w:val="001D2F37"/>
    <w:rsid w:val="001D4441"/>
    <w:rsid w:val="001E0EFE"/>
    <w:rsid w:val="001E6A8D"/>
    <w:rsid w:val="0021592B"/>
    <w:rsid w:val="00232495"/>
    <w:rsid w:val="00264D8B"/>
    <w:rsid w:val="00280F5B"/>
    <w:rsid w:val="00283150"/>
    <w:rsid w:val="0028418F"/>
    <w:rsid w:val="002B152F"/>
    <w:rsid w:val="002D570C"/>
    <w:rsid w:val="002D71EF"/>
    <w:rsid w:val="00321860"/>
    <w:rsid w:val="0034524A"/>
    <w:rsid w:val="003576E0"/>
    <w:rsid w:val="00360C38"/>
    <w:rsid w:val="00390A21"/>
    <w:rsid w:val="00393C3E"/>
    <w:rsid w:val="003A4BB2"/>
    <w:rsid w:val="003A5586"/>
    <w:rsid w:val="003D7EC8"/>
    <w:rsid w:val="0043175E"/>
    <w:rsid w:val="00471F20"/>
    <w:rsid w:val="0048737F"/>
    <w:rsid w:val="00487CBD"/>
    <w:rsid w:val="004A3758"/>
    <w:rsid w:val="004B03DD"/>
    <w:rsid w:val="005172A7"/>
    <w:rsid w:val="005D7112"/>
    <w:rsid w:val="005E5B28"/>
    <w:rsid w:val="005F210A"/>
    <w:rsid w:val="006360D7"/>
    <w:rsid w:val="00653F28"/>
    <w:rsid w:val="006B0302"/>
    <w:rsid w:val="006B4DE8"/>
    <w:rsid w:val="006C2F39"/>
    <w:rsid w:val="00702B17"/>
    <w:rsid w:val="00715F0B"/>
    <w:rsid w:val="00753708"/>
    <w:rsid w:val="00762EB3"/>
    <w:rsid w:val="00764D45"/>
    <w:rsid w:val="0077132F"/>
    <w:rsid w:val="0077634F"/>
    <w:rsid w:val="00777325"/>
    <w:rsid w:val="00787497"/>
    <w:rsid w:val="00797A8B"/>
    <w:rsid w:val="007A7610"/>
    <w:rsid w:val="008308CC"/>
    <w:rsid w:val="008322AB"/>
    <w:rsid w:val="00844673"/>
    <w:rsid w:val="00851E28"/>
    <w:rsid w:val="0089059B"/>
    <w:rsid w:val="00896FD7"/>
    <w:rsid w:val="008C7A4F"/>
    <w:rsid w:val="008E3E30"/>
    <w:rsid w:val="008F7046"/>
    <w:rsid w:val="009410B2"/>
    <w:rsid w:val="00943ED9"/>
    <w:rsid w:val="00953E81"/>
    <w:rsid w:val="009551EC"/>
    <w:rsid w:val="00984ACF"/>
    <w:rsid w:val="009A4447"/>
    <w:rsid w:val="009E0C86"/>
    <w:rsid w:val="009E169B"/>
    <w:rsid w:val="00A30E95"/>
    <w:rsid w:val="00A507C5"/>
    <w:rsid w:val="00A73472"/>
    <w:rsid w:val="00A77CFB"/>
    <w:rsid w:val="00A978C1"/>
    <w:rsid w:val="00B11DF1"/>
    <w:rsid w:val="00B5431F"/>
    <w:rsid w:val="00B83F04"/>
    <w:rsid w:val="00B95672"/>
    <w:rsid w:val="00BA3C45"/>
    <w:rsid w:val="00BB61E7"/>
    <w:rsid w:val="00BD595E"/>
    <w:rsid w:val="00C109D1"/>
    <w:rsid w:val="00C2143A"/>
    <w:rsid w:val="00C71658"/>
    <w:rsid w:val="00CB52C5"/>
    <w:rsid w:val="00CC0F15"/>
    <w:rsid w:val="00D212AE"/>
    <w:rsid w:val="00D3432A"/>
    <w:rsid w:val="00D7327B"/>
    <w:rsid w:val="00D757F0"/>
    <w:rsid w:val="00D83144"/>
    <w:rsid w:val="00D9167F"/>
    <w:rsid w:val="00DA37F6"/>
    <w:rsid w:val="00DE72A5"/>
    <w:rsid w:val="00DF708C"/>
    <w:rsid w:val="00E15467"/>
    <w:rsid w:val="00E27F64"/>
    <w:rsid w:val="00E55EB6"/>
    <w:rsid w:val="00EA62F1"/>
    <w:rsid w:val="00EB5A16"/>
    <w:rsid w:val="00EB5F84"/>
    <w:rsid w:val="00F032CC"/>
    <w:rsid w:val="00F12264"/>
    <w:rsid w:val="00F61A67"/>
    <w:rsid w:val="00FC7E0B"/>
    <w:rsid w:val="00FD6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21569"/>
  <w15:chartTrackingRefBased/>
  <w15:docId w15:val="{7EF432AE-98FF-4877-82E4-D222DAF1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5672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B9567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9567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56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5672"/>
  </w:style>
  <w:style w:type="paragraph" w:customStyle="1" w:styleId="mmoradkovani">
    <w:name w:val="_mmo_radkovani"/>
    <w:basedOn w:val="Normln"/>
    <w:rsid w:val="00390A21"/>
    <w:pPr>
      <w:spacing w:after="0" w:line="360" w:lineRule="auto"/>
    </w:pPr>
    <w:rPr>
      <w:rFonts w:ascii="Courier New" w:eastAsia="Times New Roman" w:hAnsi="Courier New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A76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Rehová Plačková Ivana</dc:creator>
  <cp:keywords/>
  <dc:description/>
  <cp:lastModifiedBy>Kozubová Renáta</cp:lastModifiedBy>
  <cp:revision>3</cp:revision>
  <cp:lastPrinted>2024-05-28T10:20:00Z</cp:lastPrinted>
  <dcterms:created xsi:type="dcterms:W3CDTF">2024-05-28T10:22:00Z</dcterms:created>
  <dcterms:modified xsi:type="dcterms:W3CDTF">2024-05-28T10:22:00Z</dcterms:modified>
</cp:coreProperties>
</file>