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02B2" w14:textId="77777777" w:rsidR="007570C0" w:rsidRPr="001E01BC" w:rsidRDefault="007570C0" w:rsidP="00FC379E">
      <w:pPr>
        <w:jc w:val="both"/>
        <w:rPr>
          <w:rFonts w:ascii="Times New Roman" w:hAnsi="Times New Roman"/>
          <w:b/>
          <w:sz w:val="32"/>
          <w:szCs w:val="32"/>
        </w:rPr>
      </w:pPr>
      <w:r w:rsidRPr="001E01BC">
        <w:rPr>
          <w:rFonts w:ascii="Times New Roman" w:hAnsi="Times New Roman"/>
          <w:b/>
          <w:sz w:val="32"/>
          <w:szCs w:val="32"/>
        </w:rPr>
        <w:t>Důvodová zpráva</w:t>
      </w:r>
    </w:p>
    <w:p w14:paraId="0FB95A5B" w14:textId="77777777" w:rsidR="007570C0" w:rsidRPr="001E01BC" w:rsidRDefault="007570C0" w:rsidP="00FC379E">
      <w:pPr>
        <w:jc w:val="both"/>
        <w:rPr>
          <w:rFonts w:ascii="Times New Roman" w:hAnsi="Times New Roman"/>
          <w:b/>
          <w:sz w:val="24"/>
          <w:szCs w:val="24"/>
        </w:rPr>
      </w:pPr>
    </w:p>
    <w:p w14:paraId="190756BA" w14:textId="0F24EE42" w:rsidR="00E81051" w:rsidRPr="001E01BC" w:rsidRDefault="00816D87" w:rsidP="00EF12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Zastupitelstvu města</w:t>
      </w:r>
      <w:r w:rsidR="00BB30CD" w:rsidRPr="001E01BC">
        <w:rPr>
          <w:rFonts w:ascii="Times New Roman" w:hAnsi="Times New Roman"/>
          <w:b/>
          <w:sz w:val="24"/>
          <w:szCs w:val="24"/>
        </w:rPr>
        <w:t xml:space="preserve"> je </w:t>
      </w:r>
      <w:r w:rsidR="001E01BC">
        <w:rPr>
          <w:rFonts w:ascii="Times New Roman" w:hAnsi="Times New Roman"/>
          <w:b/>
          <w:sz w:val="24"/>
          <w:szCs w:val="24"/>
        </w:rPr>
        <w:t xml:space="preserve">k odsouhlasení </w:t>
      </w:r>
      <w:r w:rsidR="00BB30CD" w:rsidRPr="001E01BC">
        <w:rPr>
          <w:rFonts w:ascii="Times New Roman" w:hAnsi="Times New Roman"/>
          <w:b/>
          <w:sz w:val="24"/>
          <w:szCs w:val="24"/>
        </w:rPr>
        <w:t>předkládán</w:t>
      </w:r>
      <w:r w:rsidR="00E81051" w:rsidRPr="001E01BC">
        <w:rPr>
          <w:rFonts w:ascii="Times New Roman" w:hAnsi="Times New Roman"/>
          <w:b/>
          <w:sz w:val="24"/>
          <w:szCs w:val="24"/>
        </w:rPr>
        <w:t xml:space="preserve">a aktualizace </w:t>
      </w:r>
      <w:r w:rsidR="007570C0" w:rsidRPr="001E01BC">
        <w:rPr>
          <w:rFonts w:ascii="Times New Roman" w:hAnsi="Times New Roman"/>
          <w:b/>
          <w:sz w:val="24"/>
          <w:szCs w:val="24"/>
        </w:rPr>
        <w:t>Akční</w:t>
      </w:r>
      <w:r w:rsidR="00EF12A0">
        <w:rPr>
          <w:rFonts w:ascii="Times New Roman" w:hAnsi="Times New Roman"/>
          <w:b/>
          <w:sz w:val="24"/>
          <w:szCs w:val="24"/>
        </w:rPr>
        <w:t>ho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 plán</w:t>
      </w:r>
      <w:r w:rsidR="00EF12A0">
        <w:rPr>
          <w:rFonts w:ascii="Times New Roman" w:hAnsi="Times New Roman"/>
          <w:b/>
          <w:sz w:val="24"/>
          <w:szCs w:val="24"/>
        </w:rPr>
        <w:t>u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 realizace cílů a</w:t>
      </w:r>
      <w:r w:rsidR="001E01BC">
        <w:rPr>
          <w:rFonts w:ascii="Times New Roman" w:hAnsi="Times New Roman"/>
          <w:b/>
          <w:sz w:val="24"/>
          <w:szCs w:val="24"/>
        </w:rPr>
        <w:t> 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opatření Strategického plánu města Ostravy pro sport </w:t>
      </w:r>
      <w:r w:rsidR="00207A3C" w:rsidRPr="001E01BC">
        <w:rPr>
          <w:rFonts w:ascii="Times New Roman" w:hAnsi="Times New Roman"/>
          <w:b/>
          <w:sz w:val="24"/>
          <w:szCs w:val="24"/>
        </w:rPr>
        <w:t>2017–2025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 (dále jen Akční plán)</w:t>
      </w:r>
      <w:r w:rsidR="005873EC" w:rsidRPr="001E01BC">
        <w:rPr>
          <w:rFonts w:ascii="Times New Roman" w:hAnsi="Times New Roman"/>
          <w:b/>
          <w:sz w:val="24"/>
          <w:szCs w:val="24"/>
        </w:rPr>
        <w:t xml:space="preserve"> pro rok 202</w:t>
      </w:r>
      <w:r w:rsidR="002C1B16">
        <w:rPr>
          <w:rFonts w:ascii="Times New Roman" w:hAnsi="Times New Roman"/>
          <w:b/>
          <w:sz w:val="24"/>
          <w:szCs w:val="24"/>
        </w:rPr>
        <w:t>4</w:t>
      </w:r>
      <w:r w:rsidR="007570C0" w:rsidRPr="001E01BC">
        <w:rPr>
          <w:rFonts w:ascii="Times New Roman" w:hAnsi="Times New Roman"/>
          <w:b/>
          <w:sz w:val="24"/>
          <w:szCs w:val="24"/>
        </w:rPr>
        <w:t>.</w:t>
      </w:r>
    </w:p>
    <w:p w14:paraId="53067E49" w14:textId="2803DBF6" w:rsidR="00E81051" w:rsidRDefault="00E81051" w:rsidP="00EF12A0">
      <w:pPr>
        <w:jc w:val="both"/>
        <w:rPr>
          <w:rFonts w:ascii="Times New Roman" w:hAnsi="Times New Roman"/>
          <w:b/>
          <w:sz w:val="24"/>
          <w:szCs w:val="24"/>
        </w:rPr>
      </w:pPr>
    </w:p>
    <w:p w14:paraId="371A2E15" w14:textId="77777777" w:rsidR="00EF12A0" w:rsidRPr="001E01BC" w:rsidRDefault="00EF12A0" w:rsidP="00EF12A0">
      <w:pPr>
        <w:jc w:val="both"/>
        <w:rPr>
          <w:rFonts w:ascii="Times New Roman" w:hAnsi="Times New Roman"/>
          <w:b/>
          <w:sz w:val="24"/>
          <w:szCs w:val="24"/>
        </w:rPr>
      </w:pPr>
    </w:p>
    <w:p w14:paraId="54CC19EB" w14:textId="6DB642A9" w:rsidR="007570C0" w:rsidRPr="001E01BC" w:rsidRDefault="007817C2" w:rsidP="00EF12A0">
      <w:pPr>
        <w:jc w:val="both"/>
        <w:rPr>
          <w:rFonts w:ascii="Times New Roman" w:hAnsi="Times New Roman"/>
          <w:bCs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Dokument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EF12A0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kční plán – </w:t>
      </w:r>
      <w:r w:rsidR="00EF12A0">
        <w:rPr>
          <w:rFonts w:ascii="Times New Roman" w:hAnsi="Times New Roman"/>
          <w:b/>
          <w:sz w:val="24"/>
          <w:szCs w:val="24"/>
        </w:rPr>
        <w:t xml:space="preserve">sumarizuje </w:t>
      </w:r>
      <w:r>
        <w:rPr>
          <w:rFonts w:ascii="Times New Roman" w:hAnsi="Times New Roman"/>
          <w:b/>
          <w:sz w:val="24"/>
          <w:szCs w:val="24"/>
        </w:rPr>
        <w:t>konkrétní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 akce a projekty připravované či</w:t>
      </w:r>
      <w:r w:rsidR="00EF12A0">
        <w:rPr>
          <w:rFonts w:ascii="Times New Roman" w:hAnsi="Times New Roman"/>
          <w:b/>
          <w:sz w:val="24"/>
          <w:szCs w:val="24"/>
        </w:rPr>
        <w:t> </w:t>
      </w:r>
      <w:r w:rsidR="007570C0" w:rsidRPr="001E01BC">
        <w:rPr>
          <w:rFonts w:ascii="Times New Roman" w:hAnsi="Times New Roman"/>
          <w:b/>
          <w:sz w:val="24"/>
          <w:szCs w:val="24"/>
        </w:rPr>
        <w:t>realizované v souladu se</w:t>
      </w:r>
      <w:r w:rsidR="00E81051" w:rsidRPr="001E01BC">
        <w:rPr>
          <w:rFonts w:ascii="Times New Roman" w:hAnsi="Times New Roman"/>
          <w:b/>
          <w:sz w:val="24"/>
          <w:szCs w:val="24"/>
        </w:rPr>
        <w:t> </w:t>
      </w:r>
      <w:r w:rsidR="007570C0" w:rsidRPr="001E01BC">
        <w:rPr>
          <w:rFonts w:ascii="Times New Roman" w:hAnsi="Times New Roman"/>
          <w:b/>
          <w:sz w:val="24"/>
          <w:szCs w:val="24"/>
        </w:rPr>
        <w:t xml:space="preserve">Strategickým plánem města Ostravy pro sport na období </w:t>
      </w:r>
      <w:r w:rsidR="00207A3C" w:rsidRPr="001E01BC">
        <w:rPr>
          <w:rFonts w:ascii="Times New Roman" w:hAnsi="Times New Roman"/>
          <w:b/>
          <w:sz w:val="24"/>
          <w:szCs w:val="24"/>
        </w:rPr>
        <w:t>2017–2025</w:t>
      </w:r>
      <w:r w:rsidR="007570C0" w:rsidRPr="001E01BC">
        <w:rPr>
          <w:rFonts w:ascii="Times New Roman" w:hAnsi="Times New Roman"/>
          <w:bCs/>
          <w:sz w:val="24"/>
          <w:szCs w:val="24"/>
        </w:rPr>
        <w:t xml:space="preserve"> (dále jen Strategický plán)</w:t>
      </w:r>
      <w:r w:rsidR="00E81051" w:rsidRPr="001E01BC">
        <w:rPr>
          <w:rFonts w:ascii="Times New Roman" w:hAnsi="Times New Roman"/>
          <w:bCs/>
          <w:sz w:val="24"/>
          <w:szCs w:val="24"/>
        </w:rPr>
        <w:t xml:space="preserve"> schváleným usnesením zastupitelstvo města č. usnesení 1549/ZM1418/24 ze dne 01.03.2017.</w:t>
      </w:r>
    </w:p>
    <w:p w14:paraId="350B2370" w14:textId="77777777" w:rsidR="007570C0" w:rsidRPr="001E01BC" w:rsidRDefault="007570C0" w:rsidP="00EF12A0">
      <w:pPr>
        <w:tabs>
          <w:tab w:val="center" w:pos="2127"/>
          <w:tab w:val="center" w:pos="708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B85DC75" w14:textId="0F072B18" w:rsidR="007817C2" w:rsidRPr="007817C2" w:rsidRDefault="007817C2" w:rsidP="007817C2">
      <w:pPr>
        <w:jc w:val="both"/>
        <w:rPr>
          <w:rFonts w:ascii="Times New Roman" w:eastAsia="Calibri" w:hAnsi="Times New Roman"/>
          <w:sz w:val="24"/>
          <w:szCs w:val="24"/>
        </w:rPr>
      </w:pPr>
      <w:r w:rsidRPr="007817C2">
        <w:rPr>
          <w:rFonts w:ascii="Times New Roman" w:eastAsia="Calibri" w:hAnsi="Times New Roman"/>
          <w:sz w:val="24"/>
          <w:szCs w:val="24"/>
        </w:rPr>
        <w:t>Akční plán a jeho aktualizace pro rok 202</w:t>
      </w:r>
      <w:r w:rsidR="002C1B16">
        <w:rPr>
          <w:rFonts w:ascii="Times New Roman" w:eastAsia="Calibri" w:hAnsi="Times New Roman"/>
          <w:sz w:val="24"/>
          <w:szCs w:val="24"/>
        </w:rPr>
        <w:t>4</w:t>
      </w:r>
      <w:r w:rsidRPr="007817C2">
        <w:rPr>
          <w:rFonts w:ascii="Times New Roman" w:eastAsia="Calibri" w:hAnsi="Times New Roman"/>
          <w:sz w:val="24"/>
          <w:szCs w:val="24"/>
        </w:rPr>
        <w:t>, stejně jako v předcházejících obdobích, přináší ucelený přehled plánovaných investičních a neinvestičních akcí ve vazbě na podporu a rozvoj sportu v Ostravě. Akční plán reflektuje potřeby a strategické cíle v oblasti sportu města Ostravy. Dokument</w:t>
      </w:r>
      <w:r w:rsidR="00EF12A0">
        <w:rPr>
          <w:rFonts w:ascii="Times New Roman" w:eastAsia="Calibri" w:hAnsi="Times New Roman"/>
          <w:sz w:val="24"/>
          <w:szCs w:val="24"/>
        </w:rPr>
        <w:t xml:space="preserve"> přináší informace o předpoklád</w:t>
      </w:r>
      <w:r w:rsidRPr="007817C2">
        <w:rPr>
          <w:rFonts w:ascii="Times New Roman" w:eastAsia="Calibri" w:hAnsi="Times New Roman"/>
          <w:sz w:val="24"/>
          <w:szCs w:val="24"/>
        </w:rPr>
        <w:t>an</w:t>
      </w:r>
      <w:r w:rsidR="00EF12A0">
        <w:rPr>
          <w:rFonts w:ascii="Times New Roman" w:eastAsia="Calibri" w:hAnsi="Times New Roman"/>
          <w:sz w:val="24"/>
          <w:szCs w:val="24"/>
        </w:rPr>
        <w:t>ých</w:t>
      </w:r>
      <w:r w:rsidRPr="007817C2">
        <w:rPr>
          <w:rFonts w:ascii="Times New Roman" w:eastAsia="Calibri" w:hAnsi="Times New Roman"/>
          <w:sz w:val="24"/>
          <w:szCs w:val="24"/>
        </w:rPr>
        <w:t xml:space="preserve"> finanční</w:t>
      </w:r>
      <w:r w:rsidR="00EF12A0">
        <w:rPr>
          <w:rFonts w:ascii="Times New Roman" w:eastAsia="Calibri" w:hAnsi="Times New Roman"/>
          <w:sz w:val="24"/>
          <w:szCs w:val="24"/>
        </w:rPr>
        <w:t>ch</w:t>
      </w:r>
      <w:r w:rsidRPr="007817C2">
        <w:rPr>
          <w:rFonts w:ascii="Times New Roman" w:eastAsia="Calibri" w:hAnsi="Times New Roman"/>
          <w:sz w:val="24"/>
          <w:szCs w:val="24"/>
        </w:rPr>
        <w:t xml:space="preserve"> náklad</w:t>
      </w:r>
      <w:r w:rsidR="00EF12A0">
        <w:rPr>
          <w:rFonts w:ascii="Times New Roman" w:eastAsia="Calibri" w:hAnsi="Times New Roman"/>
          <w:sz w:val="24"/>
          <w:szCs w:val="24"/>
        </w:rPr>
        <w:t>ech</w:t>
      </w:r>
      <w:r w:rsidRPr="007817C2">
        <w:rPr>
          <w:rFonts w:ascii="Times New Roman" w:eastAsia="Calibri" w:hAnsi="Times New Roman"/>
          <w:sz w:val="24"/>
          <w:szCs w:val="24"/>
        </w:rPr>
        <w:t xml:space="preserve"> na výstavbu, rekonstrukci či modernizaci sportovní infrastruktury v rámci města Ostravy, přehled obsahuje také významné sportovní akce konané ve městě Ostrava v daném kalendářním roce.</w:t>
      </w:r>
    </w:p>
    <w:p w14:paraId="5967759B" w14:textId="77777777" w:rsidR="007817C2" w:rsidRPr="007817C2" w:rsidRDefault="007817C2" w:rsidP="007817C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160D49D6" w14:textId="2FD9C2C3" w:rsidR="00E81051" w:rsidRDefault="007817C2" w:rsidP="007817C2">
      <w:pPr>
        <w:jc w:val="both"/>
        <w:rPr>
          <w:rFonts w:ascii="Times New Roman" w:eastAsia="Calibri" w:hAnsi="Times New Roman"/>
          <w:sz w:val="24"/>
          <w:szCs w:val="24"/>
        </w:rPr>
      </w:pPr>
      <w:r w:rsidRPr="007817C2">
        <w:rPr>
          <w:rFonts w:ascii="Times New Roman" w:eastAsia="Calibri" w:hAnsi="Times New Roman"/>
          <w:sz w:val="24"/>
          <w:szCs w:val="24"/>
        </w:rPr>
        <w:t xml:space="preserve">Tento dokument zahrnuje jak projekty realizované samotným statutárním městem Ostrava, tak projekty realizované jednotlivými městskými obvody, sportovními kluby, či jinými subjekty. V </w:t>
      </w:r>
      <w:r w:rsidR="00BE79FA">
        <w:rPr>
          <w:rFonts w:ascii="Times New Roman" w:eastAsia="Calibri" w:hAnsi="Times New Roman"/>
          <w:sz w:val="24"/>
          <w:szCs w:val="24"/>
        </w:rPr>
        <w:t>A</w:t>
      </w:r>
      <w:r w:rsidRPr="007817C2">
        <w:rPr>
          <w:rFonts w:ascii="Times New Roman" w:eastAsia="Calibri" w:hAnsi="Times New Roman"/>
          <w:sz w:val="24"/>
          <w:szCs w:val="24"/>
        </w:rPr>
        <w:t>kčním plánu jsou zahrnuty i projekty, které není možné ze strany města zavázat k jejich plnění a ani provést následnou kontrolu.</w:t>
      </w:r>
      <w:r w:rsidR="00EF12A0">
        <w:rPr>
          <w:rFonts w:ascii="Times New Roman" w:eastAsia="Calibri" w:hAnsi="Times New Roman"/>
          <w:sz w:val="24"/>
          <w:szCs w:val="24"/>
        </w:rPr>
        <w:t xml:space="preserve"> Strategický plán, jehož plnění je realizováno prostřednictvím Akčního plánu, je zpracován v souladu s legislativními požadavky, dle § 6 a dalších </w:t>
      </w:r>
      <w:r w:rsidR="00EF12A0" w:rsidRPr="00EF12A0">
        <w:rPr>
          <w:rFonts w:ascii="Times New Roman" w:eastAsia="Calibri" w:hAnsi="Times New Roman"/>
          <w:sz w:val="24"/>
          <w:szCs w:val="24"/>
        </w:rPr>
        <w:t>zákon</w:t>
      </w:r>
      <w:r w:rsidR="00EF12A0">
        <w:rPr>
          <w:rFonts w:ascii="Times New Roman" w:eastAsia="Calibri" w:hAnsi="Times New Roman"/>
          <w:sz w:val="24"/>
          <w:szCs w:val="24"/>
        </w:rPr>
        <w:t>a</w:t>
      </w:r>
      <w:r w:rsidR="00EF12A0" w:rsidRPr="00EF12A0">
        <w:rPr>
          <w:rFonts w:ascii="Times New Roman" w:eastAsia="Calibri" w:hAnsi="Times New Roman"/>
          <w:sz w:val="24"/>
          <w:szCs w:val="24"/>
        </w:rPr>
        <w:t xml:space="preserve"> č. 115/2001 Sb., o podpoře sportu</w:t>
      </w:r>
      <w:r w:rsidR="00EF12A0">
        <w:rPr>
          <w:rFonts w:ascii="Times New Roman" w:eastAsia="Calibri" w:hAnsi="Times New Roman"/>
          <w:sz w:val="24"/>
          <w:szCs w:val="24"/>
        </w:rPr>
        <w:t>.</w:t>
      </w:r>
    </w:p>
    <w:p w14:paraId="2B69179C" w14:textId="77777777" w:rsidR="007817C2" w:rsidRPr="001E01BC" w:rsidRDefault="007817C2" w:rsidP="007817C2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BC46372" w14:textId="2C98B0D4" w:rsidR="00E81051" w:rsidRDefault="007570C0" w:rsidP="00FC379E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 xml:space="preserve">Akční plán obsahuje oblasti, </w:t>
      </w:r>
      <w:r w:rsidR="00E81051" w:rsidRPr="001E01BC">
        <w:rPr>
          <w:rFonts w:ascii="Times New Roman" w:hAnsi="Times New Roman"/>
          <w:sz w:val="24"/>
          <w:szCs w:val="24"/>
        </w:rPr>
        <w:t xml:space="preserve">resp. strategické cíle a </w:t>
      </w:r>
      <w:r w:rsidR="00EF12A0">
        <w:rPr>
          <w:rFonts w:ascii="Times New Roman" w:hAnsi="Times New Roman"/>
          <w:sz w:val="24"/>
          <w:szCs w:val="24"/>
        </w:rPr>
        <w:t xml:space="preserve">(měřitelné) </w:t>
      </w:r>
      <w:r w:rsidR="00E81051" w:rsidRPr="001E01BC">
        <w:rPr>
          <w:rFonts w:ascii="Times New Roman" w:hAnsi="Times New Roman"/>
          <w:sz w:val="24"/>
          <w:szCs w:val="24"/>
        </w:rPr>
        <w:t xml:space="preserve">indikátory, </w:t>
      </w:r>
      <w:r w:rsidRPr="001E01BC">
        <w:rPr>
          <w:rFonts w:ascii="Times New Roman" w:hAnsi="Times New Roman"/>
          <w:sz w:val="24"/>
          <w:szCs w:val="24"/>
        </w:rPr>
        <w:t>které jsou definovány Strategickým plánem</w:t>
      </w:r>
      <w:r w:rsidR="00E81051" w:rsidRPr="001E01BC">
        <w:rPr>
          <w:rFonts w:ascii="Times New Roman" w:hAnsi="Times New Roman"/>
          <w:sz w:val="24"/>
          <w:szCs w:val="24"/>
        </w:rPr>
        <w:t>.</w:t>
      </w:r>
    </w:p>
    <w:p w14:paraId="674F1A21" w14:textId="4B71E754" w:rsidR="007570C0" w:rsidRPr="001E01BC" w:rsidRDefault="00E81051" w:rsidP="00FC379E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Strategické cíle jsou specifikovány v oblastech</w:t>
      </w:r>
      <w:r w:rsidR="007570C0" w:rsidRPr="001E01BC">
        <w:rPr>
          <w:rFonts w:ascii="Times New Roman" w:hAnsi="Times New Roman"/>
          <w:sz w:val="24"/>
          <w:szCs w:val="24"/>
        </w:rPr>
        <w:t>:</w:t>
      </w:r>
    </w:p>
    <w:p w14:paraId="60AA5175" w14:textId="6827F5C3" w:rsidR="007570C0" w:rsidRPr="001E01BC" w:rsidRDefault="007570C0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vrcholového sportu</w:t>
      </w:r>
      <w:r w:rsidR="00E81051" w:rsidRPr="001E01BC">
        <w:rPr>
          <w:rFonts w:ascii="Times New Roman" w:hAnsi="Times New Roman"/>
          <w:sz w:val="24"/>
          <w:szCs w:val="24"/>
        </w:rPr>
        <w:t>,</w:t>
      </w:r>
    </w:p>
    <w:p w14:paraId="0103DDCF" w14:textId="600C22AA" w:rsidR="007570C0" w:rsidRPr="001E01BC" w:rsidRDefault="007570C0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výkonnostního sportu</w:t>
      </w:r>
      <w:r w:rsidR="00E81051" w:rsidRPr="001E01BC">
        <w:rPr>
          <w:rFonts w:ascii="Times New Roman" w:hAnsi="Times New Roman"/>
          <w:sz w:val="24"/>
          <w:szCs w:val="24"/>
        </w:rPr>
        <w:t>,</w:t>
      </w:r>
    </w:p>
    <w:p w14:paraId="0C60FBAF" w14:textId="15FDCEF7" w:rsidR="007570C0" w:rsidRDefault="007570C0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sportu pro všechny</w:t>
      </w:r>
      <w:r w:rsidR="00E81051" w:rsidRPr="001E01BC">
        <w:rPr>
          <w:rFonts w:ascii="Times New Roman" w:hAnsi="Times New Roman"/>
          <w:sz w:val="24"/>
          <w:szCs w:val="24"/>
        </w:rPr>
        <w:t>.</w:t>
      </w:r>
    </w:p>
    <w:p w14:paraId="2AB95295" w14:textId="34109E49" w:rsidR="00E81051" w:rsidRPr="001E01BC" w:rsidRDefault="00E81051" w:rsidP="00FC379E">
      <w:pPr>
        <w:jc w:val="both"/>
        <w:rPr>
          <w:rFonts w:ascii="Times New Roman" w:eastAsia="Calibri" w:hAnsi="Times New Roman"/>
          <w:sz w:val="24"/>
          <w:szCs w:val="24"/>
        </w:rPr>
      </w:pPr>
      <w:r w:rsidRPr="001E01BC">
        <w:rPr>
          <w:rFonts w:ascii="Times New Roman" w:eastAsia="Calibri" w:hAnsi="Times New Roman"/>
          <w:sz w:val="24"/>
          <w:szCs w:val="24"/>
        </w:rPr>
        <w:t>Měřitelné indikátory jsou pak rozděleny na:</w:t>
      </w:r>
    </w:p>
    <w:p w14:paraId="5EAECBD5" w14:textId="7282C754" w:rsidR="00E81051" w:rsidRPr="001E01BC" w:rsidRDefault="00E81051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cíle v investičních oblastech napříč všemi definovanými oblastmi,</w:t>
      </w:r>
    </w:p>
    <w:p w14:paraId="3484E28F" w14:textId="00537D89" w:rsidR="00FC379E" w:rsidRPr="001E01BC" w:rsidRDefault="00E81051" w:rsidP="00FC379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cíle v neinvestičních oblastech napříč všemi definovanými oblastmi</w:t>
      </w:r>
      <w:r w:rsidR="00FC379E" w:rsidRPr="001E01BC">
        <w:rPr>
          <w:rFonts w:ascii="Times New Roman" w:hAnsi="Times New Roman"/>
          <w:sz w:val="24"/>
          <w:szCs w:val="24"/>
        </w:rPr>
        <w:t>.</w:t>
      </w:r>
    </w:p>
    <w:p w14:paraId="1E039111" w14:textId="77777777" w:rsidR="00FC379E" w:rsidRPr="001E01BC" w:rsidRDefault="00FC379E" w:rsidP="00FC379E">
      <w:pPr>
        <w:jc w:val="both"/>
        <w:rPr>
          <w:rFonts w:ascii="Times New Roman" w:hAnsi="Times New Roman"/>
          <w:sz w:val="24"/>
          <w:szCs w:val="24"/>
        </w:rPr>
      </w:pPr>
    </w:p>
    <w:p w14:paraId="7FA425DD" w14:textId="7C3DA1B3" w:rsidR="007570C0" w:rsidRPr="001E01BC" w:rsidRDefault="007570C0" w:rsidP="00FC379E">
      <w:pPr>
        <w:jc w:val="both"/>
        <w:rPr>
          <w:rFonts w:ascii="Times New Roman" w:hAnsi="Times New Roman"/>
          <w:sz w:val="24"/>
          <w:szCs w:val="24"/>
        </w:rPr>
      </w:pPr>
      <w:r w:rsidRPr="001E01BC">
        <w:rPr>
          <w:rFonts w:ascii="Times New Roman" w:hAnsi="Times New Roman"/>
          <w:sz w:val="24"/>
          <w:szCs w:val="24"/>
        </w:rPr>
        <w:t>Projekty jsou primárně rozděleny do kategorie investiční projektů a neinvestičních projektů. Následně je každá kategorie rozdělena dle priorit na:</w:t>
      </w:r>
    </w:p>
    <w:p w14:paraId="54D89805" w14:textId="0E7B8976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E01BC">
        <w:rPr>
          <w:rFonts w:ascii="Times New Roman" w:hAnsi="Times New Roman"/>
          <w:b/>
          <w:bCs/>
          <w:sz w:val="24"/>
          <w:szCs w:val="24"/>
        </w:rPr>
        <w:t>Investiční projekty:</w:t>
      </w:r>
    </w:p>
    <w:p w14:paraId="144CC871" w14:textId="34429338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 xml:space="preserve">projekty </w:t>
      </w:r>
      <w:r w:rsidR="00207A3C" w:rsidRPr="001E01BC">
        <w:rPr>
          <w:rFonts w:ascii="Times New Roman" w:hAnsi="Times New Roman"/>
          <w:b/>
          <w:sz w:val="24"/>
          <w:szCs w:val="24"/>
        </w:rPr>
        <w:t>A – Strategické</w:t>
      </w:r>
      <w:r w:rsidRPr="001E01BC">
        <w:rPr>
          <w:rFonts w:ascii="Times New Roman" w:hAnsi="Times New Roman"/>
          <w:b/>
          <w:sz w:val="24"/>
          <w:szCs w:val="24"/>
        </w:rPr>
        <w:t xml:space="preserve"> projekty statutárního města Ostravy, </w:t>
      </w:r>
    </w:p>
    <w:p w14:paraId="60B25B9C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 xml:space="preserve">projekty B – Prioritní projekty statutárního města Ostravy, </w:t>
      </w:r>
    </w:p>
    <w:p w14:paraId="3571513B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 xml:space="preserve">projekty C – Ostatní projekty. </w:t>
      </w:r>
    </w:p>
    <w:p w14:paraId="57460AF1" w14:textId="77777777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51E9678" w14:textId="345526F8" w:rsidR="007570C0" w:rsidRPr="001E01BC" w:rsidRDefault="007570C0" w:rsidP="00FC379E">
      <w:pPr>
        <w:tabs>
          <w:tab w:val="left" w:pos="975"/>
        </w:tabs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Neinvestiční projekty:</w:t>
      </w:r>
    </w:p>
    <w:p w14:paraId="717F480A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 xml:space="preserve">projekty A – Strategické projekty statutárního města Ostravy, </w:t>
      </w:r>
    </w:p>
    <w:p w14:paraId="3AFBAEA7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projekty B – TOP akce města Ostravy,</w:t>
      </w:r>
    </w:p>
    <w:p w14:paraId="646822CB" w14:textId="77777777" w:rsidR="007570C0" w:rsidRPr="001E01BC" w:rsidRDefault="007570C0" w:rsidP="00EF12A0">
      <w:pPr>
        <w:tabs>
          <w:tab w:val="left" w:pos="975"/>
        </w:tabs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01BC">
        <w:rPr>
          <w:rFonts w:ascii="Times New Roman" w:hAnsi="Times New Roman"/>
          <w:b/>
          <w:sz w:val="24"/>
          <w:szCs w:val="24"/>
        </w:rPr>
        <w:t>projekty C – Významné akce.</w:t>
      </w:r>
    </w:p>
    <w:p w14:paraId="0A0BB5B1" w14:textId="77777777" w:rsidR="007570C0" w:rsidRPr="001E01BC" w:rsidRDefault="007570C0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BD6BA9A" w14:textId="77777777" w:rsidR="007817C2" w:rsidRDefault="007817C2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1060519" w14:textId="77777777" w:rsidR="007817C2" w:rsidRDefault="007817C2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B951512" w14:textId="77777777" w:rsidR="007817C2" w:rsidRDefault="007817C2" w:rsidP="00FC379E">
      <w:pPr>
        <w:pStyle w:val="JVS1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EC76450" w14:textId="6CFD66BC" w:rsidR="007817C2" w:rsidRPr="007817C2" w:rsidRDefault="007817C2" w:rsidP="007817C2">
      <w:pPr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V předkládané aktualizaci </w:t>
      </w:r>
      <w:r w:rsidR="00BE79FA">
        <w:rPr>
          <w:rFonts w:ascii="Times New Roman" w:hAnsi="Times New Roman"/>
          <w:bCs/>
          <w:kern w:val="32"/>
          <w:sz w:val="24"/>
          <w:szCs w:val="24"/>
        </w:rPr>
        <w:t>A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kčního plánu jsou zaznamenány </w:t>
      </w:r>
      <w:r w:rsidRPr="007817C2">
        <w:rPr>
          <w:rFonts w:ascii="Times New Roman" w:hAnsi="Times New Roman"/>
          <w:b/>
          <w:kern w:val="32"/>
          <w:sz w:val="24"/>
          <w:szCs w:val="24"/>
        </w:rPr>
        <w:t>aktuální změny, stavy, fáze a</w:t>
      </w:r>
      <w:r w:rsidR="00EF12A0">
        <w:rPr>
          <w:rFonts w:ascii="Times New Roman" w:hAnsi="Times New Roman"/>
          <w:b/>
          <w:kern w:val="32"/>
          <w:sz w:val="24"/>
          <w:szCs w:val="24"/>
        </w:rPr>
        <w:t> </w:t>
      </w:r>
      <w:r w:rsidRPr="007817C2">
        <w:rPr>
          <w:rFonts w:ascii="Times New Roman" w:hAnsi="Times New Roman"/>
          <w:b/>
          <w:kern w:val="32"/>
          <w:sz w:val="24"/>
          <w:szCs w:val="24"/>
        </w:rPr>
        <w:t>kroky v rámci posunu při realizaci stávajících projektů, které jsou značeny červeně.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 Dále jsou červeně zaznamenány i </w:t>
      </w:r>
      <w:r w:rsidRPr="007817C2">
        <w:rPr>
          <w:rFonts w:ascii="Times New Roman" w:hAnsi="Times New Roman"/>
          <w:b/>
          <w:kern w:val="32"/>
          <w:sz w:val="24"/>
          <w:szCs w:val="24"/>
        </w:rPr>
        <w:t>nové projektové záměry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>. Celý dokument je doplněn o</w:t>
      </w:r>
      <w:r w:rsidR="00BE79FA">
        <w:rPr>
          <w:rFonts w:ascii="Times New Roman" w:hAnsi="Times New Roman"/>
          <w:bCs/>
          <w:kern w:val="32"/>
          <w:sz w:val="24"/>
          <w:szCs w:val="24"/>
        </w:rPr>
        <w:t> </w:t>
      </w:r>
      <w:r w:rsidRPr="007817C2">
        <w:rPr>
          <w:rFonts w:ascii="Times New Roman" w:hAnsi="Times New Roman"/>
          <w:b/>
          <w:kern w:val="32"/>
          <w:sz w:val="24"/>
          <w:szCs w:val="24"/>
        </w:rPr>
        <w:t>přehledný obsah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 a strukturován dle oblastí, které jsou nadefinovány Strategickým plánem města. Zároveň byla provedena </w:t>
      </w:r>
      <w:r w:rsidRPr="007817C2">
        <w:rPr>
          <w:rFonts w:ascii="Times New Roman" w:hAnsi="Times New Roman"/>
          <w:b/>
          <w:kern w:val="32"/>
          <w:sz w:val="24"/>
          <w:szCs w:val="24"/>
        </w:rPr>
        <w:t>aktualizace dokončených, zrealizovaných, ukončených (z</w:t>
      </w:r>
      <w:r w:rsidR="00BE79FA">
        <w:rPr>
          <w:rFonts w:ascii="Times New Roman" w:hAnsi="Times New Roman"/>
          <w:b/>
          <w:kern w:val="32"/>
          <w:sz w:val="24"/>
          <w:szCs w:val="24"/>
        </w:rPr>
        <w:t> </w:t>
      </w:r>
      <w:r w:rsidRPr="007817C2">
        <w:rPr>
          <w:rFonts w:ascii="Times New Roman" w:hAnsi="Times New Roman"/>
          <w:b/>
          <w:kern w:val="32"/>
          <w:sz w:val="24"/>
          <w:szCs w:val="24"/>
        </w:rPr>
        <w:t>důvodu nerealizace), či pozastavených projektů.</w:t>
      </w:r>
    </w:p>
    <w:p w14:paraId="22604BDF" w14:textId="77777777" w:rsidR="007817C2" w:rsidRPr="007817C2" w:rsidRDefault="007817C2" w:rsidP="007817C2">
      <w:pPr>
        <w:jc w:val="both"/>
        <w:rPr>
          <w:rFonts w:ascii="Times New Roman" w:hAnsi="Times New Roman"/>
          <w:bCs/>
          <w:kern w:val="32"/>
          <w:sz w:val="24"/>
          <w:szCs w:val="24"/>
        </w:rPr>
      </w:pPr>
    </w:p>
    <w:p w14:paraId="6FBCCA24" w14:textId="0EF1B173" w:rsidR="00BB30CD" w:rsidRDefault="007817C2" w:rsidP="007817C2">
      <w:pPr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Odbor sportu s předmětným dokumentem </w:t>
      </w:r>
      <w:r w:rsidR="00BE79FA">
        <w:rPr>
          <w:rFonts w:ascii="Times New Roman" w:hAnsi="Times New Roman"/>
          <w:bCs/>
          <w:kern w:val="32"/>
          <w:sz w:val="24"/>
          <w:szCs w:val="24"/>
        </w:rPr>
        <w:t xml:space="preserve">operativně </w:t>
      </w:r>
      <w:r w:rsidR="00F00941" w:rsidRPr="007817C2">
        <w:rPr>
          <w:rFonts w:ascii="Times New Roman" w:hAnsi="Times New Roman"/>
          <w:bCs/>
          <w:kern w:val="32"/>
          <w:sz w:val="24"/>
          <w:szCs w:val="24"/>
        </w:rPr>
        <w:t>pracuje</w:t>
      </w:r>
      <w:r w:rsidR="0032573A">
        <w:rPr>
          <w:rFonts w:ascii="Times New Roman" w:hAnsi="Times New Roman"/>
          <w:bCs/>
          <w:kern w:val="32"/>
          <w:sz w:val="24"/>
          <w:szCs w:val="24"/>
        </w:rPr>
        <w:t>,</w:t>
      </w:r>
      <w:r w:rsidR="00F00941">
        <w:rPr>
          <w:rFonts w:ascii="Times New Roman" w:hAnsi="Times New Roman"/>
          <w:bCs/>
          <w:kern w:val="32"/>
          <w:sz w:val="24"/>
          <w:szCs w:val="24"/>
        </w:rPr>
        <w:t xml:space="preserve"> vyhodnocuje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 postup</w:t>
      </w:r>
      <w:r w:rsidR="0032573A">
        <w:rPr>
          <w:rFonts w:ascii="Times New Roman" w:hAnsi="Times New Roman"/>
          <w:bCs/>
          <w:kern w:val="32"/>
          <w:sz w:val="24"/>
          <w:szCs w:val="24"/>
        </w:rPr>
        <w:t xml:space="preserve"> a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 připravenost projektů</w:t>
      </w:r>
      <w:r w:rsidR="0032573A">
        <w:rPr>
          <w:rFonts w:ascii="Times New Roman" w:hAnsi="Times New Roman"/>
          <w:bCs/>
          <w:kern w:val="32"/>
          <w:sz w:val="24"/>
          <w:szCs w:val="24"/>
        </w:rPr>
        <w:t>,</w:t>
      </w:r>
      <w:r w:rsidRPr="007817C2">
        <w:rPr>
          <w:rFonts w:ascii="Times New Roman" w:hAnsi="Times New Roman"/>
          <w:bCs/>
          <w:kern w:val="32"/>
          <w:sz w:val="24"/>
          <w:szCs w:val="24"/>
        </w:rPr>
        <w:t xml:space="preserve"> a díky tomu bylo schopno město předložit v minulých letech vlastní projekty v rámci investičních výzev Národní sportovní agentury a koordinovat a podpořit projekty jednotlivých sportovních klubů, čímž byla maximalizována alokace finančních prostředků do sportovní infrastruktury celého města Ostravy.</w:t>
      </w:r>
    </w:p>
    <w:p w14:paraId="7CF035F3" w14:textId="77777777" w:rsidR="001E01BC" w:rsidRPr="001E01BC" w:rsidRDefault="001E01BC" w:rsidP="00FC379E">
      <w:pPr>
        <w:jc w:val="both"/>
        <w:rPr>
          <w:rFonts w:ascii="Times New Roman" w:hAnsi="Times New Roman"/>
          <w:sz w:val="24"/>
          <w:szCs w:val="24"/>
        </w:rPr>
      </w:pPr>
    </w:p>
    <w:p w14:paraId="7A5B125A" w14:textId="24147B6B" w:rsidR="00BB30CD" w:rsidRPr="001E01BC" w:rsidRDefault="00F00941" w:rsidP="00FC379E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="00BB30CD" w:rsidRPr="001E01BC">
        <w:rPr>
          <w:rFonts w:ascii="Times New Roman" w:hAnsi="Times New Roman"/>
          <w:b/>
          <w:bCs/>
          <w:sz w:val="24"/>
          <w:szCs w:val="24"/>
        </w:rPr>
        <w:t>dboru</w:t>
      </w:r>
      <w:r w:rsidR="00207A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30CD" w:rsidRPr="001E01BC">
        <w:rPr>
          <w:rFonts w:ascii="Times New Roman" w:hAnsi="Times New Roman"/>
          <w:b/>
          <w:bCs/>
          <w:sz w:val="24"/>
          <w:szCs w:val="24"/>
        </w:rPr>
        <w:t>sportu</w:t>
      </w:r>
    </w:p>
    <w:p w14:paraId="52E3AA69" w14:textId="4A3560F5" w:rsidR="00BB30CD" w:rsidRPr="001E01BC" w:rsidRDefault="00207A3C" w:rsidP="00FC37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Odborem </w:t>
      </w:r>
      <w:r w:rsidR="001E01BC" w:rsidRPr="001E01BC">
        <w:rPr>
          <w:rFonts w:ascii="Times New Roman" w:hAnsi="Times New Roman"/>
          <w:sz w:val="24"/>
          <w:szCs w:val="24"/>
        </w:rPr>
        <w:t xml:space="preserve">sportu byla provedena </w:t>
      </w:r>
      <w:r w:rsidR="00BB30CD" w:rsidRPr="001E01BC">
        <w:rPr>
          <w:rFonts w:ascii="Times New Roman" w:hAnsi="Times New Roman"/>
          <w:sz w:val="24"/>
          <w:szCs w:val="24"/>
        </w:rPr>
        <w:t>každoroční aktualizace Akčního plánu. Odbor doporučuje rozhodnout v souladu s</w:t>
      </w:r>
      <w:r w:rsidR="001E01BC" w:rsidRPr="001E01BC">
        <w:rPr>
          <w:rFonts w:ascii="Times New Roman" w:hAnsi="Times New Roman"/>
          <w:sz w:val="24"/>
          <w:szCs w:val="24"/>
        </w:rPr>
        <w:t xml:space="preserve"> předkládaným</w:t>
      </w:r>
      <w:r w:rsidR="00BB30CD" w:rsidRPr="001E01BC">
        <w:rPr>
          <w:rFonts w:ascii="Times New Roman" w:hAnsi="Times New Roman"/>
          <w:sz w:val="24"/>
          <w:szCs w:val="24"/>
        </w:rPr>
        <w:t> návrhem usnesení.</w:t>
      </w:r>
    </w:p>
    <w:p w14:paraId="26122402" w14:textId="77777777" w:rsidR="00EC7B27" w:rsidRPr="001E01BC" w:rsidRDefault="00EC7B27" w:rsidP="00FC379E">
      <w:pPr>
        <w:rPr>
          <w:rFonts w:ascii="Times New Roman" w:hAnsi="Times New Roman"/>
          <w:sz w:val="24"/>
          <w:szCs w:val="24"/>
        </w:rPr>
      </w:pPr>
    </w:p>
    <w:sectPr w:rsidR="00EC7B27" w:rsidRPr="001E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1E61"/>
    <w:multiLevelType w:val="hybridMultilevel"/>
    <w:tmpl w:val="D83ADAD4"/>
    <w:lvl w:ilvl="0" w:tplc="050E2C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55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C0"/>
    <w:rsid w:val="000557F2"/>
    <w:rsid w:val="001E01BC"/>
    <w:rsid w:val="00207A3C"/>
    <w:rsid w:val="002C1B16"/>
    <w:rsid w:val="0032573A"/>
    <w:rsid w:val="005873EC"/>
    <w:rsid w:val="005B733C"/>
    <w:rsid w:val="007570C0"/>
    <w:rsid w:val="007817C2"/>
    <w:rsid w:val="00816D87"/>
    <w:rsid w:val="00BB30CD"/>
    <w:rsid w:val="00BD38AA"/>
    <w:rsid w:val="00BE2C54"/>
    <w:rsid w:val="00BE79FA"/>
    <w:rsid w:val="00D503D5"/>
    <w:rsid w:val="00E81051"/>
    <w:rsid w:val="00EC7B27"/>
    <w:rsid w:val="00EF12A0"/>
    <w:rsid w:val="00F00941"/>
    <w:rsid w:val="00FC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4D7C"/>
  <w15:chartTrackingRefBased/>
  <w15:docId w15:val="{1A5E117E-B1E9-446F-A25E-91DCE60B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0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7570C0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7570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810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Denisa</dc:creator>
  <cp:keywords/>
  <dc:description/>
  <cp:lastModifiedBy>Lacinová Denisa</cp:lastModifiedBy>
  <cp:revision>5</cp:revision>
  <dcterms:created xsi:type="dcterms:W3CDTF">2024-02-22T06:56:00Z</dcterms:created>
  <dcterms:modified xsi:type="dcterms:W3CDTF">2024-03-20T09:57:00Z</dcterms:modified>
</cp:coreProperties>
</file>