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650" w:rsidRDefault="00DF4AB7">
      <w:pPr>
        <w:jc w:val="both"/>
        <w:rPr>
          <w:rFonts w:asciiTheme="minorHAnsi" w:hAnsiTheme="minorHAnsi" w:cs="Aharoni"/>
          <w:b/>
          <w:bCs/>
          <w:sz w:val="44"/>
          <w:szCs w:val="44"/>
          <w:u w:val="single"/>
        </w:rPr>
      </w:pPr>
      <w:r w:rsidRPr="008262CC">
        <w:rPr>
          <w:rFonts w:asciiTheme="minorHAnsi" w:hAnsiTheme="minorHAnsi" w:cs="Aharoni"/>
          <w:b/>
          <w:bCs/>
          <w:sz w:val="44"/>
          <w:szCs w:val="44"/>
          <w:u w:val="single"/>
        </w:rPr>
        <w:t>Důvodová zpráva</w:t>
      </w:r>
      <w:r w:rsidR="00F32650" w:rsidRPr="008262CC">
        <w:rPr>
          <w:rFonts w:asciiTheme="minorHAnsi" w:hAnsiTheme="minorHAnsi" w:cs="Aharoni"/>
          <w:b/>
          <w:bCs/>
          <w:sz w:val="44"/>
          <w:szCs w:val="44"/>
          <w:u w:val="single"/>
        </w:rPr>
        <w:t>:</w:t>
      </w:r>
    </w:p>
    <w:p w:rsidR="007D072D" w:rsidRPr="008262CC" w:rsidRDefault="007D072D">
      <w:pPr>
        <w:jc w:val="both"/>
        <w:rPr>
          <w:rFonts w:asciiTheme="minorHAnsi" w:hAnsiTheme="minorHAnsi" w:cs="Aharoni"/>
          <w:b/>
          <w:bCs/>
          <w:sz w:val="44"/>
          <w:szCs w:val="44"/>
          <w:u w:val="single"/>
        </w:rPr>
      </w:pPr>
    </w:p>
    <w:p w:rsidR="00BB216B" w:rsidRPr="008262CC" w:rsidRDefault="00BB216B">
      <w:pPr>
        <w:jc w:val="both"/>
        <w:rPr>
          <w:rFonts w:asciiTheme="minorHAnsi" w:hAnsiTheme="minorHAnsi" w:cs="Arial"/>
          <w:b/>
          <w:bCs/>
          <w:sz w:val="20"/>
          <w:szCs w:val="20"/>
          <w:u w:val="single"/>
        </w:rPr>
      </w:pPr>
    </w:p>
    <w:p w:rsidR="007E1812" w:rsidRPr="008262CC" w:rsidRDefault="00C34EFC" w:rsidP="008F7350">
      <w:pPr>
        <w:jc w:val="both"/>
        <w:rPr>
          <w:rFonts w:asciiTheme="minorHAnsi" w:hAnsiTheme="minorHAnsi" w:cs="Arial"/>
          <w:sz w:val="20"/>
          <w:szCs w:val="20"/>
        </w:rPr>
      </w:pPr>
      <w:r w:rsidRPr="008262CC">
        <w:rPr>
          <w:rFonts w:asciiTheme="minorHAnsi" w:hAnsiTheme="minorHAnsi" w:cs="Arial"/>
          <w:sz w:val="20"/>
          <w:szCs w:val="20"/>
        </w:rPr>
        <w:t xml:space="preserve">Na základě rozhodnutí rady města č. </w:t>
      </w:r>
      <w:r w:rsidR="007E7685">
        <w:rPr>
          <w:rFonts w:asciiTheme="minorHAnsi" w:hAnsiTheme="minorHAnsi" w:cs="Arial"/>
          <w:sz w:val="20"/>
          <w:szCs w:val="20"/>
        </w:rPr>
        <w:t>02094/RM1822/31</w:t>
      </w:r>
      <w:r w:rsidRPr="008262CC">
        <w:rPr>
          <w:rFonts w:asciiTheme="minorHAnsi" w:hAnsiTheme="minorHAnsi" w:cs="Arial"/>
          <w:sz w:val="20"/>
          <w:szCs w:val="20"/>
        </w:rPr>
        <w:t xml:space="preserve"> ze dne </w:t>
      </w:r>
      <w:r w:rsidR="007E7685">
        <w:rPr>
          <w:rFonts w:asciiTheme="minorHAnsi" w:hAnsiTheme="minorHAnsi" w:cs="Arial"/>
          <w:sz w:val="20"/>
          <w:szCs w:val="20"/>
        </w:rPr>
        <w:t>3</w:t>
      </w:r>
      <w:r w:rsidR="000E7185">
        <w:rPr>
          <w:rFonts w:asciiTheme="minorHAnsi" w:hAnsiTheme="minorHAnsi" w:cs="Arial"/>
          <w:sz w:val="20"/>
          <w:szCs w:val="20"/>
        </w:rPr>
        <w:t>.</w:t>
      </w:r>
      <w:r w:rsidR="007E7685">
        <w:rPr>
          <w:rFonts w:asciiTheme="minorHAnsi" w:hAnsiTheme="minorHAnsi" w:cs="Arial"/>
          <w:sz w:val="20"/>
          <w:szCs w:val="20"/>
        </w:rPr>
        <w:t xml:space="preserve"> 9</w:t>
      </w:r>
      <w:r w:rsidR="000E7185">
        <w:rPr>
          <w:rFonts w:asciiTheme="minorHAnsi" w:hAnsiTheme="minorHAnsi" w:cs="Arial"/>
          <w:sz w:val="20"/>
          <w:szCs w:val="20"/>
        </w:rPr>
        <w:t>. 2019</w:t>
      </w:r>
      <w:r w:rsidRPr="008262CC">
        <w:rPr>
          <w:rFonts w:asciiTheme="minorHAnsi" w:hAnsiTheme="minorHAnsi" w:cs="Arial"/>
          <w:sz w:val="20"/>
          <w:szCs w:val="20"/>
        </w:rPr>
        <w:t xml:space="preserve"> a zastupitelstva města </w:t>
      </w:r>
      <w:bookmarkStart w:id="0" w:name="_GoBack"/>
      <w:bookmarkEnd w:id="0"/>
      <w:r w:rsidR="008F7350">
        <w:rPr>
          <w:rFonts w:asciiTheme="minorHAnsi" w:hAnsiTheme="minorHAnsi" w:cs="Arial"/>
          <w:sz w:val="20"/>
          <w:szCs w:val="20"/>
        </w:rPr>
        <w:br/>
      </w:r>
      <w:r w:rsidRPr="008262CC">
        <w:rPr>
          <w:rFonts w:asciiTheme="minorHAnsi" w:hAnsiTheme="minorHAnsi" w:cs="Arial"/>
          <w:sz w:val="20"/>
          <w:szCs w:val="20"/>
        </w:rPr>
        <w:t xml:space="preserve">č. </w:t>
      </w:r>
      <w:r w:rsidR="00E12C83">
        <w:rPr>
          <w:rFonts w:asciiTheme="minorHAnsi" w:hAnsiTheme="minorHAnsi" w:cs="Arial"/>
          <w:sz w:val="20"/>
          <w:szCs w:val="20"/>
        </w:rPr>
        <w:t>0167</w:t>
      </w:r>
      <w:r w:rsidR="00F1357E" w:rsidRPr="008262CC">
        <w:rPr>
          <w:rFonts w:asciiTheme="minorHAnsi" w:hAnsiTheme="minorHAnsi" w:cs="Arial"/>
          <w:sz w:val="20"/>
          <w:szCs w:val="20"/>
        </w:rPr>
        <w:t>/ZM</w:t>
      </w:r>
      <w:r w:rsidR="00E12C83">
        <w:rPr>
          <w:rFonts w:asciiTheme="minorHAnsi" w:hAnsiTheme="minorHAnsi" w:cs="Arial"/>
          <w:sz w:val="20"/>
          <w:szCs w:val="20"/>
        </w:rPr>
        <w:t>1822</w:t>
      </w:r>
      <w:r w:rsidR="00F1357E" w:rsidRPr="008262CC">
        <w:rPr>
          <w:rFonts w:asciiTheme="minorHAnsi" w:hAnsiTheme="minorHAnsi" w:cs="Arial"/>
          <w:sz w:val="20"/>
          <w:szCs w:val="20"/>
        </w:rPr>
        <w:t>/</w:t>
      </w:r>
      <w:r w:rsidR="00E12C83">
        <w:rPr>
          <w:rFonts w:asciiTheme="minorHAnsi" w:hAnsiTheme="minorHAnsi" w:cs="Arial"/>
          <w:sz w:val="20"/>
          <w:szCs w:val="20"/>
        </w:rPr>
        <w:t>4</w:t>
      </w:r>
      <w:r w:rsidRPr="008262CC">
        <w:rPr>
          <w:rFonts w:asciiTheme="minorHAnsi" w:hAnsiTheme="minorHAnsi" w:cs="Arial"/>
          <w:sz w:val="20"/>
          <w:szCs w:val="20"/>
        </w:rPr>
        <w:t xml:space="preserve"> ze dne </w:t>
      </w:r>
      <w:r w:rsidR="00E12C83">
        <w:rPr>
          <w:rFonts w:asciiTheme="minorHAnsi" w:hAnsiTheme="minorHAnsi" w:cs="Arial"/>
          <w:sz w:val="20"/>
          <w:szCs w:val="20"/>
        </w:rPr>
        <w:t>6. 3. 2019</w:t>
      </w:r>
      <w:r w:rsidRPr="008262CC">
        <w:rPr>
          <w:rFonts w:asciiTheme="minorHAnsi" w:hAnsiTheme="minorHAnsi" w:cs="Arial"/>
          <w:sz w:val="20"/>
          <w:szCs w:val="20"/>
        </w:rPr>
        <w:t xml:space="preserve"> je předkládána pravidelná informace o stavu přípravy a realizace projektů:</w:t>
      </w:r>
    </w:p>
    <w:p w:rsidR="00C34EFC" w:rsidRPr="008262CC" w:rsidRDefault="00C34EFC" w:rsidP="00C34EFC">
      <w:pPr>
        <w:jc w:val="both"/>
        <w:rPr>
          <w:rFonts w:asciiTheme="minorHAnsi" w:hAnsiTheme="minorHAnsi" w:cs="Arial"/>
          <w:b/>
          <w:bCs/>
          <w:sz w:val="20"/>
          <w:szCs w:val="20"/>
        </w:rPr>
      </w:pPr>
    </w:p>
    <w:tbl>
      <w:tblPr>
        <w:tblW w:w="10636" w:type="dxa"/>
        <w:jc w:val="center"/>
        <w:tblCellMar>
          <w:left w:w="70" w:type="dxa"/>
          <w:right w:w="70" w:type="dxa"/>
        </w:tblCellMar>
        <w:tblLook w:val="04A0" w:firstRow="1" w:lastRow="0" w:firstColumn="1" w:lastColumn="0" w:noHBand="0" w:noVBand="1"/>
      </w:tblPr>
      <w:tblGrid>
        <w:gridCol w:w="2268"/>
        <w:gridCol w:w="1985"/>
        <w:gridCol w:w="2122"/>
        <w:gridCol w:w="1426"/>
        <w:gridCol w:w="1417"/>
        <w:gridCol w:w="1418"/>
      </w:tblGrid>
      <w:tr w:rsidR="006C7746" w:rsidRPr="008262CC" w:rsidTr="006C7746">
        <w:trPr>
          <w:trHeight w:val="746"/>
          <w:jc w:val="center"/>
        </w:trPr>
        <w:tc>
          <w:tcPr>
            <w:tcW w:w="2268" w:type="dxa"/>
            <w:tcBorders>
              <w:top w:val="single" w:sz="8" w:space="0" w:color="auto"/>
              <w:left w:val="single" w:sz="8" w:space="0" w:color="auto"/>
              <w:bottom w:val="single" w:sz="12" w:space="0" w:color="auto"/>
              <w:right w:val="single" w:sz="12" w:space="0" w:color="auto"/>
            </w:tcBorders>
            <w:shd w:val="clear" w:color="auto" w:fill="D9D9D9"/>
            <w:vAlign w:val="center"/>
            <w:hideMark/>
          </w:tcPr>
          <w:p w:rsidR="006C7746" w:rsidRPr="008262CC" w:rsidRDefault="006C7746"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Název </w:t>
            </w:r>
          </w:p>
        </w:tc>
        <w:tc>
          <w:tcPr>
            <w:tcW w:w="1985" w:type="dxa"/>
            <w:tcBorders>
              <w:top w:val="single" w:sz="8" w:space="0" w:color="auto"/>
              <w:left w:val="single" w:sz="12" w:space="0" w:color="auto"/>
              <w:bottom w:val="single" w:sz="12" w:space="0" w:color="auto"/>
              <w:right w:val="single" w:sz="8" w:space="0" w:color="auto"/>
            </w:tcBorders>
            <w:shd w:val="clear" w:color="auto" w:fill="D9D9D9"/>
            <w:vAlign w:val="center"/>
          </w:tcPr>
          <w:p w:rsidR="006C7746" w:rsidRDefault="006C7746" w:rsidP="00766B9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investice ze strany investorů </w:t>
            </w:r>
            <w:r w:rsidRPr="008262CC">
              <w:rPr>
                <w:rFonts w:asciiTheme="minorHAnsi" w:hAnsiTheme="minorHAnsi" w:cs="Arial"/>
                <w:b/>
                <w:bCs/>
                <w:color w:val="000000"/>
                <w:sz w:val="18"/>
                <w:szCs w:val="18"/>
              </w:rPr>
              <w:t xml:space="preserve">k </w:t>
            </w:r>
            <w:r w:rsidR="00593B22">
              <w:rPr>
                <w:rFonts w:asciiTheme="minorHAnsi" w:hAnsiTheme="minorHAnsi" w:cs="Arial"/>
                <w:b/>
                <w:bCs/>
                <w:color w:val="000000"/>
                <w:sz w:val="18"/>
                <w:szCs w:val="18"/>
              </w:rPr>
              <w:t>31</w:t>
            </w:r>
            <w:r w:rsidR="00593B22" w:rsidRPr="008262CC">
              <w:rPr>
                <w:rFonts w:asciiTheme="minorHAnsi" w:hAnsiTheme="minorHAnsi" w:cs="Arial"/>
                <w:b/>
                <w:bCs/>
                <w:color w:val="000000"/>
                <w:sz w:val="18"/>
                <w:szCs w:val="18"/>
              </w:rPr>
              <w:t>.</w:t>
            </w:r>
            <w:r w:rsidR="00593B22">
              <w:rPr>
                <w:rFonts w:asciiTheme="minorHAnsi" w:hAnsiTheme="minorHAnsi" w:cs="Arial"/>
                <w:b/>
                <w:bCs/>
                <w:color w:val="000000"/>
                <w:sz w:val="18"/>
                <w:szCs w:val="18"/>
              </w:rPr>
              <w:t>12</w:t>
            </w:r>
            <w:r w:rsidR="00593B22" w:rsidRPr="008262CC">
              <w:rPr>
                <w:rFonts w:asciiTheme="minorHAnsi" w:hAnsiTheme="minorHAnsi" w:cs="Arial"/>
                <w:b/>
                <w:bCs/>
                <w:color w:val="000000"/>
                <w:sz w:val="18"/>
                <w:szCs w:val="18"/>
              </w:rPr>
              <w:t>.201</w:t>
            </w:r>
            <w:r w:rsidR="00593B22">
              <w:rPr>
                <w:rFonts w:asciiTheme="minorHAnsi" w:hAnsiTheme="minorHAnsi" w:cs="Arial"/>
                <w:b/>
                <w:bCs/>
                <w:color w:val="000000"/>
                <w:sz w:val="18"/>
                <w:szCs w:val="18"/>
              </w:rPr>
              <w:t>8</w:t>
            </w:r>
          </w:p>
          <w:p w:rsidR="006C7746" w:rsidRPr="008262CC" w:rsidRDefault="006C7746"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2122" w:type="dxa"/>
            <w:tcBorders>
              <w:top w:val="single" w:sz="8" w:space="0" w:color="auto"/>
              <w:left w:val="single" w:sz="8" w:space="0" w:color="auto"/>
              <w:bottom w:val="single" w:sz="12" w:space="0" w:color="auto"/>
              <w:right w:val="single" w:sz="8" w:space="0" w:color="auto"/>
            </w:tcBorders>
            <w:shd w:val="clear" w:color="auto" w:fill="D9D9D9"/>
            <w:vAlign w:val="center"/>
          </w:tcPr>
          <w:p w:rsidR="006C7746" w:rsidRDefault="006C7746" w:rsidP="00766B9B">
            <w:pPr>
              <w:ind w:left="-208"/>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investice ze strany investorů </w:t>
            </w:r>
            <w:r w:rsidRPr="008262CC">
              <w:rPr>
                <w:rFonts w:asciiTheme="minorHAnsi" w:hAnsiTheme="minorHAnsi" w:cs="Arial"/>
                <w:b/>
                <w:bCs/>
                <w:color w:val="000000"/>
                <w:sz w:val="18"/>
                <w:szCs w:val="18"/>
              </w:rPr>
              <w:t xml:space="preserve">k </w:t>
            </w:r>
            <w:r>
              <w:rPr>
                <w:rFonts w:asciiTheme="minorHAnsi" w:hAnsiTheme="minorHAnsi" w:cs="Arial"/>
                <w:b/>
                <w:bCs/>
                <w:color w:val="000000"/>
                <w:sz w:val="18"/>
                <w:szCs w:val="18"/>
              </w:rPr>
              <w:t>3</w:t>
            </w:r>
            <w:r w:rsidR="00593B22">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593B22">
              <w:rPr>
                <w:rFonts w:asciiTheme="minorHAnsi" w:hAnsiTheme="minorHAnsi" w:cs="Arial"/>
                <w:b/>
                <w:bCs/>
                <w:color w:val="000000"/>
                <w:sz w:val="18"/>
                <w:szCs w:val="18"/>
              </w:rPr>
              <w:t>06</w:t>
            </w:r>
            <w:r w:rsidRPr="008262CC">
              <w:rPr>
                <w:rFonts w:asciiTheme="minorHAnsi" w:hAnsiTheme="minorHAnsi" w:cs="Arial"/>
                <w:b/>
                <w:bCs/>
                <w:color w:val="000000"/>
                <w:sz w:val="18"/>
                <w:szCs w:val="18"/>
              </w:rPr>
              <w:t>.201</w:t>
            </w:r>
            <w:r w:rsidR="00593B22">
              <w:rPr>
                <w:rFonts w:asciiTheme="minorHAnsi" w:hAnsiTheme="minorHAnsi" w:cs="Arial"/>
                <w:b/>
                <w:bCs/>
                <w:color w:val="000000"/>
                <w:sz w:val="18"/>
                <w:szCs w:val="18"/>
              </w:rPr>
              <w:t>9</w:t>
            </w:r>
          </w:p>
          <w:p w:rsidR="006C7746" w:rsidRPr="008262CC" w:rsidRDefault="006C7746" w:rsidP="00766B9B">
            <w:pPr>
              <w:ind w:left="-208"/>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1426" w:type="dxa"/>
            <w:tcBorders>
              <w:top w:val="single" w:sz="8" w:space="0" w:color="auto"/>
              <w:left w:val="single" w:sz="8" w:space="0" w:color="auto"/>
              <w:bottom w:val="single" w:sz="12" w:space="0" w:color="auto"/>
              <w:right w:val="single" w:sz="8" w:space="0" w:color="auto"/>
            </w:tcBorders>
            <w:shd w:val="clear" w:color="auto" w:fill="D9D9D9"/>
            <w:vAlign w:val="center"/>
          </w:tcPr>
          <w:p w:rsidR="006C7746" w:rsidRPr="008262CC" w:rsidRDefault="006C7746" w:rsidP="00AB55D3">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sidR="00593B22">
              <w:rPr>
                <w:rFonts w:asciiTheme="minorHAnsi" w:hAnsiTheme="minorHAnsi" w:cs="Arial"/>
                <w:b/>
                <w:bCs/>
                <w:color w:val="000000"/>
                <w:sz w:val="18"/>
                <w:szCs w:val="18"/>
              </w:rPr>
              <w:t>31</w:t>
            </w:r>
            <w:r w:rsidR="00593B22" w:rsidRPr="008262CC">
              <w:rPr>
                <w:rFonts w:asciiTheme="minorHAnsi" w:hAnsiTheme="minorHAnsi" w:cs="Arial"/>
                <w:b/>
                <w:bCs/>
                <w:color w:val="000000"/>
                <w:sz w:val="18"/>
                <w:szCs w:val="18"/>
              </w:rPr>
              <w:t>.</w:t>
            </w:r>
            <w:r w:rsidR="00593B22">
              <w:rPr>
                <w:rFonts w:asciiTheme="minorHAnsi" w:hAnsiTheme="minorHAnsi" w:cs="Arial"/>
                <w:b/>
                <w:bCs/>
                <w:color w:val="000000"/>
                <w:sz w:val="18"/>
                <w:szCs w:val="18"/>
              </w:rPr>
              <w:t>12</w:t>
            </w:r>
            <w:r w:rsidR="00593B22" w:rsidRPr="008262CC">
              <w:rPr>
                <w:rFonts w:asciiTheme="minorHAnsi" w:hAnsiTheme="minorHAnsi" w:cs="Arial"/>
                <w:b/>
                <w:bCs/>
                <w:color w:val="000000"/>
                <w:sz w:val="18"/>
                <w:szCs w:val="18"/>
              </w:rPr>
              <w:t>.201</w:t>
            </w:r>
            <w:r w:rsidR="00593B22">
              <w:rPr>
                <w:rFonts w:asciiTheme="minorHAnsi" w:hAnsiTheme="minorHAnsi" w:cs="Arial"/>
                <w:b/>
                <w:bCs/>
                <w:color w:val="000000"/>
                <w:sz w:val="18"/>
                <w:szCs w:val="18"/>
              </w:rPr>
              <w:t>8</w:t>
            </w:r>
          </w:p>
        </w:tc>
        <w:tc>
          <w:tcPr>
            <w:tcW w:w="1417" w:type="dxa"/>
            <w:tcBorders>
              <w:top w:val="single" w:sz="8" w:space="0" w:color="auto"/>
              <w:left w:val="single" w:sz="8" w:space="0" w:color="auto"/>
              <w:bottom w:val="single" w:sz="12" w:space="0" w:color="auto"/>
              <w:right w:val="single" w:sz="4" w:space="0" w:color="auto"/>
            </w:tcBorders>
            <w:shd w:val="clear" w:color="auto" w:fill="D9D9D9"/>
            <w:vAlign w:val="center"/>
            <w:hideMark/>
          </w:tcPr>
          <w:p w:rsidR="006C7746" w:rsidRPr="008262CC" w:rsidRDefault="006C7746" w:rsidP="00593B22">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Pr>
                <w:rFonts w:asciiTheme="minorHAnsi" w:hAnsiTheme="minorHAnsi" w:cs="Arial"/>
                <w:b/>
                <w:bCs/>
                <w:color w:val="000000"/>
                <w:sz w:val="18"/>
                <w:szCs w:val="18"/>
              </w:rPr>
              <w:t>3</w:t>
            </w:r>
            <w:r w:rsidR="00593B22">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593B22">
              <w:rPr>
                <w:rFonts w:asciiTheme="minorHAnsi" w:hAnsiTheme="minorHAnsi" w:cs="Arial"/>
                <w:b/>
                <w:bCs/>
                <w:color w:val="000000"/>
                <w:sz w:val="18"/>
                <w:szCs w:val="18"/>
              </w:rPr>
              <w:t>06</w:t>
            </w:r>
            <w:r w:rsidRPr="008262CC">
              <w:rPr>
                <w:rFonts w:asciiTheme="minorHAnsi" w:hAnsiTheme="minorHAnsi" w:cs="Arial"/>
                <w:b/>
                <w:bCs/>
                <w:color w:val="000000"/>
                <w:sz w:val="18"/>
                <w:szCs w:val="18"/>
              </w:rPr>
              <w:t>.201</w:t>
            </w:r>
            <w:r w:rsidR="00593B22">
              <w:rPr>
                <w:rFonts w:asciiTheme="minorHAnsi" w:hAnsiTheme="minorHAnsi" w:cs="Arial"/>
                <w:b/>
                <w:bCs/>
                <w:color w:val="000000"/>
                <w:sz w:val="18"/>
                <w:szCs w:val="18"/>
              </w:rPr>
              <w:t>9</w:t>
            </w:r>
          </w:p>
        </w:tc>
        <w:tc>
          <w:tcPr>
            <w:tcW w:w="1418" w:type="dxa"/>
            <w:tcBorders>
              <w:top w:val="single" w:sz="8" w:space="0" w:color="auto"/>
              <w:left w:val="nil"/>
              <w:bottom w:val="single" w:sz="12" w:space="0" w:color="auto"/>
              <w:right w:val="single" w:sz="8" w:space="0" w:color="auto"/>
            </w:tcBorders>
            <w:shd w:val="clear" w:color="auto" w:fill="D9D9D9"/>
            <w:vAlign w:val="center"/>
            <w:hideMark/>
          </w:tcPr>
          <w:p w:rsidR="006C7746" w:rsidRPr="008262CC" w:rsidRDefault="006C7746" w:rsidP="00593B22">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Předpokládaný stav pracovních míst </w:t>
            </w:r>
            <w:r w:rsidRPr="008262CC">
              <w:rPr>
                <w:rFonts w:asciiTheme="minorHAnsi" w:hAnsiTheme="minorHAnsi" w:cs="Arial"/>
                <w:b/>
                <w:bCs/>
                <w:color w:val="000000"/>
                <w:sz w:val="18"/>
                <w:szCs w:val="18"/>
              </w:rPr>
              <w:br/>
              <w:t>k </w:t>
            </w:r>
            <w:r w:rsidR="00FD7B80">
              <w:rPr>
                <w:rFonts w:asciiTheme="minorHAnsi" w:hAnsiTheme="minorHAnsi" w:cs="Arial"/>
                <w:b/>
                <w:bCs/>
                <w:color w:val="000000"/>
                <w:sz w:val="18"/>
                <w:szCs w:val="18"/>
              </w:rPr>
              <w:t>3</w:t>
            </w:r>
            <w:r w:rsidR="00593B22">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593B22">
              <w:rPr>
                <w:rFonts w:asciiTheme="minorHAnsi" w:hAnsiTheme="minorHAnsi" w:cs="Arial"/>
                <w:b/>
                <w:bCs/>
                <w:color w:val="000000"/>
                <w:sz w:val="18"/>
                <w:szCs w:val="18"/>
              </w:rPr>
              <w:t>06</w:t>
            </w:r>
            <w:r w:rsidRPr="008262CC">
              <w:rPr>
                <w:rFonts w:asciiTheme="minorHAnsi" w:hAnsiTheme="minorHAnsi" w:cs="Arial"/>
                <w:b/>
                <w:bCs/>
                <w:color w:val="000000"/>
                <w:sz w:val="18"/>
                <w:szCs w:val="18"/>
              </w:rPr>
              <w:t>.20</w:t>
            </w:r>
            <w:r w:rsidR="00593B22">
              <w:rPr>
                <w:rFonts w:asciiTheme="minorHAnsi" w:hAnsiTheme="minorHAnsi" w:cs="Arial"/>
                <w:b/>
                <w:bCs/>
                <w:color w:val="000000"/>
                <w:sz w:val="18"/>
                <w:szCs w:val="18"/>
              </w:rPr>
              <w:t>20</w:t>
            </w:r>
          </w:p>
        </w:tc>
      </w:tr>
      <w:tr w:rsidR="006C7746" w:rsidRPr="00DA1D3B" w:rsidTr="00593B22">
        <w:trPr>
          <w:trHeight w:val="543"/>
          <w:jc w:val="center"/>
        </w:trPr>
        <w:tc>
          <w:tcPr>
            <w:tcW w:w="2268" w:type="dxa"/>
            <w:tcBorders>
              <w:top w:val="single" w:sz="12" w:space="0" w:color="auto"/>
              <w:left w:val="single" w:sz="8" w:space="0" w:color="auto"/>
              <w:bottom w:val="single" w:sz="4" w:space="0" w:color="auto"/>
              <w:right w:val="single" w:sz="12" w:space="0" w:color="auto"/>
            </w:tcBorders>
            <w:vAlign w:val="center"/>
            <w:hideMark/>
          </w:tcPr>
          <w:p w:rsidR="006C7746" w:rsidRPr="008262CC" w:rsidRDefault="006C7746" w:rsidP="00766B9B">
            <w:pPr>
              <w:rPr>
                <w:rFonts w:asciiTheme="minorHAnsi" w:hAnsiTheme="minorHAnsi" w:cs="Arial"/>
                <w:color w:val="000000"/>
                <w:sz w:val="18"/>
                <w:szCs w:val="18"/>
              </w:rPr>
            </w:pPr>
            <w:r w:rsidRPr="008262CC">
              <w:rPr>
                <w:rFonts w:asciiTheme="minorHAnsi" w:hAnsiTheme="minorHAnsi" w:cs="Arial"/>
                <w:color w:val="000000"/>
                <w:sz w:val="18"/>
                <w:szCs w:val="18"/>
              </w:rPr>
              <w:t>Průmyslová zóna Ostrava-Hrabová</w:t>
            </w:r>
          </w:p>
        </w:tc>
        <w:tc>
          <w:tcPr>
            <w:tcW w:w="1985" w:type="dxa"/>
            <w:tcBorders>
              <w:top w:val="single" w:sz="12" w:space="0" w:color="auto"/>
              <w:left w:val="single" w:sz="12" w:space="0" w:color="auto"/>
              <w:bottom w:val="single" w:sz="4" w:space="0" w:color="auto"/>
              <w:right w:val="single" w:sz="8" w:space="0" w:color="auto"/>
            </w:tcBorders>
            <w:vAlign w:val="center"/>
          </w:tcPr>
          <w:p w:rsidR="006C7746" w:rsidRPr="00593B22" w:rsidRDefault="00593B22" w:rsidP="00E67E72">
            <w:pPr>
              <w:jc w:val="center"/>
              <w:rPr>
                <w:rFonts w:asciiTheme="minorHAnsi" w:hAnsiTheme="minorHAnsi" w:cs="Arial"/>
                <w:sz w:val="18"/>
                <w:szCs w:val="18"/>
              </w:rPr>
            </w:pPr>
            <w:r w:rsidRPr="00593B22">
              <w:rPr>
                <w:rFonts w:asciiTheme="minorHAnsi" w:hAnsiTheme="minorHAnsi" w:cs="Arial"/>
                <w:bCs/>
                <w:sz w:val="18"/>
                <w:szCs w:val="18"/>
              </w:rPr>
              <w:t>22 899,83</w:t>
            </w:r>
          </w:p>
        </w:tc>
        <w:tc>
          <w:tcPr>
            <w:tcW w:w="2122" w:type="dxa"/>
            <w:tcBorders>
              <w:top w:val="single" w:sz="12" w:space="0" w:color="auto"/>
              <w:left w:val="single" w:sz="8" w:space="0" w:color="auto"/>
              <w:bottom w:val="single" w:sz="4" w:space="0" w:color="auto"/>
              <w:right w:val="single" w:sz="8" w:space="0" w:color="auto"/>
            </w:tcBorders>
            <w:vAlign w:val="center"/>
          </w:tcPr>
          <w:p w:rsidR="006C7746" w:rsidRPr="000E2EE3" w:rsidRDefault="006E7805" w:rsidP="00E67E72">
            <w:pPr>
              <w:ind w:left="-208"/>
              <w:jc w:val="center"/>
              <w:rPr>
                <w:rFonts w:asciiTheme="minorHAnsi" w:hAnsiTheme="minorHAnsi" w:cs="Arial"/>
                <w:b/>
                <w:sz w:val="18"/>
                <w:szCs w:val="18"/>
              </w:rPr>
            </w:pPr>
            <w:r w:rsidRPr="00BD246A">
              <w:rPr>
                <w:rFonts w:asciiTheme="minorHAnsi" w:hAnsiTheme="minorHAnsi" w:cs="Arial"/>
                <w:b/>
                <w:bCs/>
                <w:sz w:val="18"/>
                <w:szCs w:val="18"/>
              </w:rPr>
              <w:t>22 951,83</w:t>
            </w:r>
          </w:p>
        </w:tc>
        <w:tc>
          <w:tcPr>
            <w:tcW w:w="1426" w:type="dxa"/>
            <w:tcBorders>
              <w:top w:val="single" w:sz="12" w:space="0" w:color="auto"/>
              <w:left w:val="single" w:sz="8" w:space="0" w:color="auto"/>
              <w:bottom w:val="single" w:sz="4" w:space="0" w:color="auto"/>
              <w:right w:val="single" w:sz="8" w:space="0" w:color="auto"/>
            </w:tcBorders>
            <w:vAlign w:val="center"/>
          </w:tcPr>
          <w:p w:rsidR="006C7746" w:rsidRPr="00593B22" w:rsidRDefault="00593B22" w:rsidP="00E67E72">
            <w:pPr>
              <w:jc w:val="center"/>
              <w:rPr>
                <w:rFonts w:asciiTheme="minorHAnsi" w:hAnsiTheme="minorHAnsi" w:cs="Arial"/>
                <w:sz w:val="18"/>
                <w:szCs w:val="18"/>
                <w:lang w:val="en-US"/>
              </w:rPr>
            </w:pPr>
            <w:r w:rsidRPr="00593B22">
              <w:rPr>
                <w:rFonts w:asciiTheme="minorHAnsi" w:hAnsiTheme="minorHAnsi" w:cs="Arial"/>
                <w:bCs/>
                <w:sz w:val="18"/>
                <w:szCs w:val="18"/>
              </w:rPr>
              <w:t>9 625</w:t>
            </w:r>
          </w:p>
        </w:tc>
        <w:tc>
          <w:tcPr>
            <w:tcW w:w="1417" w:type="dxa"/>
            <w:tcBorders>
              <w:top w:val="single" w:sz="12" w:space="0" w:color="auto"/>
              <w:left w:val="single" w:sz="8" w:space="0" w:color="auto"/>
              <w:bottom w:val="single" w:sz="4" w:space="0" w:color="auto"/>
              <w:right w:val="single" w:sz="4" w:space="0" w:color="auto"/>
            </w:tcBorders>
            <w:vAlign w:val="center"/>
          </w:tcPr>
          <w:p w:rsidR="006C7746" w:rsidRPr="008A011E" w:rsidRDefault="006E7805" w:rsidP="00E67E72">
            <w:pPr>
              <w:jc w:val="center"/>
              <w:rPr>
                <w:rFonts w:asciiTheme="minorHAnsi" w:hAnsiTheme="minorHAnsi" w:cs="Arial"/>
                <w:b/>
                <w:sz w:val="18"/>
                <w:szCs w:val="18"/>
                <w:lang w:val="en-US"/>
              </w:rPr>
            </w:pPr>
            <w:r w:rsidRPr="00F659A8">
              <w:rPr>
                <w:rFonts w:asciiTheme="minorHAnsi" w:hAnsiTheme="minorHAnsi" w:cs="Arial"/>
                <w:b/>
                <w:bCs/>
                <w:sz w:val="18"/>
                <w:szCs w:val="18"/>
              </w:rPr>
              <w:t>9</w:t>
            </w:r>
            <w:r>
              <w:rPr>
                <w:rFonts w:asciiTheme="minorHAnsi" w:hAnsiTheme="minorHAnsi" w:cs="Arial"/>
                <w:b/>
                <w:bCs/>
                <w:sz w:val="18"/>
                <w:szCs w:val="18"/>
              </w:rPr>
              <w:t xml:space="preserve"> </w:t>
            </w:r>
            <w:r w:rsidRPr="00F659A8">
              <w:rPr>
                <w:rFonts w:asciiTheme="minorHAnsi" w:hAnsiTheme="minorHAnsi" w:cs="Arial"/>
                <w:b/>
                <w:bCs/>
                <w:sz w:val="18"/>
                <w:szCs w:val="18"/>
              </w:rPr>
              <w:t>247</w:t>
            </w:r>
          </w:p>
        </w:tc>
        <w:tc>
          <w:tcPr>
            <w:tcW w:w="1418" w:type="dxa"/>
            <w:tcBorders>
              <w:top w:val="single" w:sz="12" w:space="0" w:color="auto"/>
              <w:left w:val="nil"/>
              <w:bottom w:val="single" w:sz="4" w:space="0" w:color="auto"/>
              <w:right w:val="single" w:sz="8" w:space="0" w:color="auto"/>
            </w:tcBorders>
            <w:vAlign w:val="center"/>
            <w:hideMark/>
          </w:tcPr>
          <w:p w:rsidR="006C7746" w:rsidRPr="00593B22" w:rsidRDefault="006E7805" w:rsidP="00E67E72">
            <w:pPr>
              <w:jc w:val="center"/>
              <w:rPr>
                <w:rFonts w:asciiTheme="minorHAnsi" w:hAnsiTheme="minorHAnsi" w:cs="Arial"/>
                <w:color w:val="C00000"/>
                <w:sz w:val="18"/>
                <w:szCs w:val="18"/>
                <w:lang w:val="en-US"/>
              </w:rPr>
            </w:pPr>
            <w:r w:rsidRPr="00DE5622">
              <w:rPr>
                <w:rFonts w:asciiTheme="minorHAnsi" w:hAnsiTheme="minorHAnsi" w:cs="Arial"/>
                <w:bCs/>
                <w:sz w:val="18"/>
                <w:szCs w:val="18"/>
              </w:rPr>
              <w:t>10 252</w:t>
            </w:r>
          </w:p>
        </w:tc>
      </w:tr>
      <w:tr w:rsidR="006C7746" w:rsidRPr="00DA1D3B" w:rsidTr="00593B22">
        <w:trPr>
          <w:trHeight w:val="300"/>
          <w:jc w:val="center"/>
        </w:trPr>
        <w:tc>
          <w:tcPr>
            <w:tcW w:w="2268" w:type="dxa"/>
            <w:tcBorders>
              <w:top w:val="nil"/>
              <w:left w:val="single" w:sz="8" w:space="0" w:color="auto"/>
              <w:bottom w:val="single" w:sz="4" w:space="0" w:color="auto"/>
              <w:right w:val="single" w:sz="12" w:space="0" w:color="auto"/>
            </w:tcBorders>
            <w:vAlign w:val="center"/>
            <w:hideMark/>
          </w:tcPr>
          <w:p w:rsidR="006C7746" w:rsidRPr="008262CC" w:rsidRDefault="006C7746" w:rsidP="00766B9B">
            <w:pPr>
              <w:rPr>
                <w:rFonts w:asciiTheme="minorHAnsi" w:hAnsiTheme="minorHAnsi" w:cs="Arial"/>
                <w:color w:val="000000"/>
                <w:sz w:val="18"/>
                <w:szCs w:val="18"/>
              </w:rPr>
            </w:pPr>
            <w:r w:rsidRPr="008262CC">
              <w:rPr>
                <w:rFonts w:asciiTheme="minorHAnsi" w:hAnsiTheme="minorHAnsi" w:cs="Arial"/>
                <w:color w:val="000000"/>
                <w:sz w:val="18"/>
                <w:szCs w:val="18"/>
              </w:rPr>
              <w:t>Strategická průmyslová zóna Ostrava-Mošnov</w:t>
            </w:r>
          </w:p>
        </w:tc>
        <w:tc>
          <w:tcPr>
            <w:tcW w:w="1985" w:type="dxa"/>
            <w:tcBorders>
              <w:top w:val="nil"/>
              <w:left w:val="single" w:sz="12" w:space="0" w:color="auto"/>
              <w:bottom w:val="single" w:sz="4" w:space="0" w:color="auto"/>
              <w:right w:val="single" w:sz="8" w:space="0" w:color="auto"/>
            </w:tcBorders>
            <w:vAlign w:val="center"/>
          </w:tcPr>
          <w:p w:rsidR="006C7746" w:rsidRPr="00593B22" w:rsidRDefault="00593B22" w:rsidP="00E67E72">
            <w:pPr>
              <w:jc w:val="center"/>
              <w:rPr>
                <w:rFonts w:asciiTheme="minorHAnsi" w:hAnsiTheme="minorHAnsi" w:cs="Arial"/>
                <w:sz w:val="18"/>
                <w:szCs w:val="18"/>
              </w:rPr>
            </w:pPr>
            <w:r w:rsidRPr="00593B22">
              <w:rPr>
                <w:rFonts w:asciiTheme="minorHAnsi" w:hAnsiTheme="minorHAnsi" w:cs="Arial"/>
                <w:bCs/>
                <w:sz w:val="18"/>
                <w:szCs w:val="18"/>
              </w:rPr>
              <w:t>13 766,29</w:t>
            </w:r>
          </w:p>
        </w:tc>
        <w:tc>
          <w:tcPr>
            <w:tcW w:w="2122" w:type="dxa"/>
            <w:tcBorders>
              <w:top w:val="nil"/>
              <w:left w:val="single" w:sz="8" w:space="0" w:color="auto"/>
              <w:bottom w:val="single" w:sz="4" w:space="0" w:color="auto"/>
              <w:right w:val="single" w:sz="8" w:space="0" w:color="auto"/>
            </w:tcBorders>
            <w:vAlign w:val="center"/>
          </w:tcPr>
          <w:p w:rsidR="006C7746" w:rsidRPr="000E2EE3" w:rsidRDefault="006E7805" w:rsidP="00FB421C">
            <w:pPr>
              <w:ind w:left="-208"/>
              <w:jc w:val="center"/>
              <w:rPr>
                <w:rFonts w:asciiTheme="minorHAnsi" w:hAnsiTheme="minorHAnsi" w:cs="Arial"/>
                <w:b/>
                <w:sz w:val="18"/>
                <w:szCs w:val="18"/>
              </w:rPr>
            </w:pPr>
            <w:r w:rsidRPr="00B12D1C">
              <w:rPr>
                <w:rFonts w:asciiTheme="minorHAnsi" w:hAnsiTheme="minorHAnsi" w:cs="Arial"/>
                <w:b/>
                <w:bCs/>
                <w:sz w:val="18"/>
                <w:szCs w:val="18"/>
              </w:rPr>
              <w:t>14 25</w:t>
            </w:r>
            <w:r w:rsidR="00FB421C">
              <w:rPr>
                <w:rFonts w:asciiTheme="minorHAnsi" w:hAnsiTheme="minorHAnsi" w:cs="Arial"/>
                <w:b/>
                <w:bCs/>
                <w:sz w:val="18"/>
                <w:szCs w:val="18"/>
              </w:rPr>
              <w:t>1</w:t>
            </w:r>
            <w:r w:rsidRPr="00B12D1C">
              <w:rPr>
                <w:rFonts w:asciiTheme="minorHAnsi" w:hAnsiTheme="minorHAnsi" w:cs="Arial"/>
                <w:b/>
                <w:bCs/>
                <w:sz w:val="18"/>
                <w:szCs w:val="18"/>
              </w:rPr>
              <w:t>,42</w:t>
            </w:r>
          </w:p>
        </w:tc>
        <w:tc>
          <w:tcPr>
            <w:tcW w:w="1426" w:type="dxa"/>
            <w:tcBorders>
              <w:top w:val="nil"/>
              <w:left w:val="single" w:sz="8" w:space="0" w:color="auto"/>
              <w:bottom w:val="single" w:sz="4" w:space="0" w:color="auto"/>
              <w:right w:val="single" w:sz="8" w:space="0" w:color="auto"/>
            </w:tcBorders>
            <w:vAlign w:val="center"/>
          </w:tcPr>
          <w:p w:rsidR="006C7746" w:rsidRPr="00593B22" w:rsidRDefault="00593B22" w:rsidP="00E67E72">
            <w:pPr>
              <w:jc w:val="center"/>
              <w:rPr>
                <w:rFonts w:asciiTheme="minorHAnsi" w:hAnsiTheme="minorHAnsi" w:cs="Arial"/>
                <w:sz w:val="18"/>
                <w:szCs w:val="18"/>
              </w:rPr>
            </w:pPr>
            <w:r w:rsidRPr="00593B22">
              <w:rPr>
                <w:rFonts w:asciiTheme="minorHAnsi" w:hAnsiTheme="minorHAnsi" w:cs="Arial"/>
                <w:bCs/>
                <w:sz w:val="18"/>
                <w:szCs w:val="18"/>
              </w:rPr>
              <w:t>4 152</w:t>
            </w:r>
          </w:p>
        </w:tc>
        <w:tc>
          <w:tcPr>
            <w:tcW w:w="1417" w:type="dxa"/>
            <w:tcBorders>
              <w:top w:val="nil"/>
              <w:left w:val="single" w:sz="8" w:space="0" w:color="auto"/>
              <w:bottom w:val="single" w:sz="4" w:space="0" w:color="auto"/>
              <w:right w:val="single" w:sz="4" w:space="0" w:color="auto"/>
            </w:tcBorders>
            <w:vAlign w:val="center"/>
          </w:tcPr>
          <w:p w:rsidR="006C7746" w:rsidRPr="008A011E" w:rsidRDefault="006E7805" w:rsidP="00E67E72">
            <w:pPr>
              <w:jc w:val="center"/>
              <w:rPr>
                <w:rFonts w:asciiTheme="minorHAnsi" w:hAnsiTheme="minorHAnsi" w:cs="Arial"/>
                <w:b/>
                <w:sz w:val="18"/>
                <w:szCs w:val="18"/>
              </w:rPr>
            </w:pPr>
            <w:r w:rsidRPr="00B12D1C">
              <w:rPr>
                <w:rFonts w:asciiTheme="minorHAnsi" w:hAnsiTheme="minorHAnsi" w:cs="Arial"/>
                <w:b/>
                <w:bCs/>
                <w:sz w:val="18"/>
                <w:szCs w:val="18"/>
              </w:rPr>
              <w:t>4</w:t>
            </w:r>
            <w:r>
              <w:rPr>
                <w:rFonts w:asciiTheme="minorHAnsi" w:hAnsiTheme="minorHAnsi" w:cs="Arial"/>
                <w:b/>
                <w:bCs/>
                <w:sz w:val="18"/>
                <w:szCs w:val="18"/>
              </w:rPr>
              <w:t xml:space="preserve"> </w:t>
            </w:r>
            <w:r w:rsidRPr="00B12D1C">
              <w:rPr>
                <w:rFonts w:asciiTheme="minorHAnsi" w:hAnsiTheme="minorHAnsi" w:cs="Arial"/>
                <w:b/>
                <w:bCs/>
                <w:sz w:val="18"/>
                <w:szCs w:val="18"/>
              </w:rPr>
              <w:t>118</w:t>
            </w:r>
          </w:p>
        </w:tc>
        <w:tc>
          <w:tcPr>
            <w:tcW w:w="1418" w:type="dxa"/>
            <w:tcBorders>
              <w:top w:val="nil"/>
              <w:left w:val="nil"/>
              <w:bottom w:val="single" w:sz="4" w:space="0" w:color="auto"/>
              <w:right w:val="single" w:sz="8" w:space="0" w:color="auto"/>
            </w:tcBorders>
            <w:vAlign w:val="center"/>
            <w:hideMark/>
          </w:tcPr>
          <w:p w:rsidR="006C7746" w:rsidRPr="00593B22" w:rsidRDefault="006E7805" w:rsidP="00E67E72">
            <w:pPr>
              <w:jc w:val="center"/>
              <w:rPr>
                <w:rFonts w:asciiTheme="minorHAnsi" w:hAnsiTheme="minorHAnsi" w:cs="Arial"/>
                <w:color w:val="C00000"/>
                <w:sz w:val="18"/>
                <w:szCs w:val="18"/>
              </w:rPr>
            </w:pPr>
            <w:r w:rsidRPr="00597423">
              <w:rPr>
                <w:rFonts w:asciiTheme="minorHAnsi" w:hAnsiTheme="minorHAnsi" w:cs="Arial"/>
                <w:bCs/>
                <w:sz w:val="18"/>
                <w:szCs w:val="18"/>
              </w:rPr>
              <w:t>4 286</w:t>
            </w:r>
          </w:p>
        </w:tc>
      </w:tr>
      <w:tr w:rsidR="006C7746" w:rsidRPr="008262CC" w:rsidTr="006C7746">
        <w:trPr>
          <w:trHeight w:val="408"/>
          <w:jc w:val="center"/>
        </w:trPr>
        <w:tc>
          <w:tcPr>
            <w:tcW w:w="2268" w:type="dxa"/>
            <w:tcBorders>
              <w:top w:val="single" w:sz="4" w:space="0" w:color="auto"/>
              <w:left w:val="single" w:sz="8" w:space="0" w:color="auto"/>
              <w:bottom w:val="single" w:sz="8" w:space="0" w:color="auto"/>
              <w:right w:val="single" w:sz="12" w:space="0" w:color="auto"/>
            </w:tcBorders>
            <w:vAlign w:val="center"/>
          </w:tcPr>
          <w:p w:rsidR="006C7746" w:rsidRPr="008262CC" w:rsidRDefault="006C7746" w:rsidP="00766B9B">
            <w:pPr>
              <w:rPr>
                <w:rFonts w:asciiTheme="minorHAnsi" w:hAnsiTheme="minorHAnsi" w:cs="Arial"/>
                <w:color w:val="000000"/>
                <w:sz w:val="18"/>
                <w:szCs w:val="18"/>
              </w:rPr>
            </w:pPr>
            <w:r w:rsidRPr="008262CC">
              <w:rPr>
                <w:rFonts w:asciiTheme="minorHAnsi" w:hAnsiTheme="minorHAnsi" w:cs="Arial"/>
                <w:color w:val="000000"/>
                <w:sz w:val="18"/>
                <w:szCs w:val="18"/>
              </w:rPr>
              <w:t>Rozvojová zóna Hrušov *</w:t>
            </w:r>
          </w:p>
        </w:tc>
        <w:tc>
          <w:tcPr>
            <w:tcW w:w="1985" w:type="dxa"/>
            <w:tcBorders>
              <w:top w:val="single" w:sz="4" w:space="0" w:color="auto"/>
              <w:left w:val="single" w:sz="12" w:space="0" w:color="auto"/>
              <w:bottom w:val="single" w:sz="8" w:space="0" w:color="auto"/>
              <w:right w:val="single" w:sz="8" w:space="0" w:color="auto"/>
            </w:tcBorders>
            <w:vAlign w:val="center"/>
          </w:tcPr>
          <w:p w:rsidR="006C7746" w:rsidRPr="00593B22" w:rsidRDefault="00692811" w:rsidP="00E67E72">
            <w:pPr>
              <w:jc w:val="center"/>
              <w:rPr>
                <w:rFonts w:asciiTheme="minorHAnsi" w:hAnsiTheme="minorHAnsi" w:cs="Arial"/>
                <w:sz w:val="18"/>
                <w:szCs w:val="18"/>
              </w:rPr>
            </w:pPr>
            <w:r>
              <w:rPr>
                <w:rFonts w:asciiTheme="minorHAnsi" w:hAnsiTheme="minorHAnsi" w:cs="Arial"/>
                <w:sz w:val="18"/>
                <w:szCs w:val="18"/>
              </w:rPr>
              <w:t>0,00</w:t>
            </w:r>
          </w:p>
        </w:tc>
        <w:tc>
          <w:tcPr>
            <w:tcW w:w="2122" w:type="dxa"/>
            <w:tcBorders>
              <w:top w:val="single" w:sz="4" w:space="0" w:color="auto"/>
              <w:left w:val="single" w:sz="8" w:space="0" w:color="auto"/>
              <w:bottom w:val="single" w:sz="8" w:space="0" w:color="auto"/>
              <w:right w:val="single" w:sz="8" w:space="0" w:color="auto"/>
            </w:tcBorders>
            <w:vAlign w:val="center"/>
          </w:tcPr>
          <w:p w:rsidR="006C7746" w:rsidRPr="000D21F2" w:rsidRDefault="00692811" w:rsidP="00E67E72">
            <w:pPr>
              <w:ind w:left="-208"/>
              <w:jc w:val="center"/>
              <w:rPr>
                <w:rFonts w:asciiTheme="minorHAnsi" w:hAnsiTheme="minorHAnsi" w:cs="Arial"/>
                <w:b/>
                <w:sz w:val="18"/>
                <w:szCs w:val="18"/>
              </w:rPr>
            </w:pPr>
            <w:r w:rsidRPr="000D21F2">
              <w:rPr>
                <w:rFonts w:asciiTheme="minorHAnsi" w:hAnsiTheme="minorHAnsi" w:cs="Arial"/>
                <w:b/>
                <w:sz w:val="18"/>
                <w:szCs w:val="18"/>
              </w:rPr>
              <w:t>255,00</w:t>
            </w:r>
          </w:p>
        </w:tc>
        <w:tc>
          <w:tcPr>
            <w:tcW w:w="1426" w:type="dxa"/>
            <w:tcBorders>
              <w:top w:val="single" w:sz="4" w:space="0" w:color="auto"/>
              <w:left w:val="single" w:sz="8" w:space="0" w:color="auto"/>
              <w:bottom w:val="single" w:sz="8" w:space="0" w:color="auto"/>
              <w:right w:val="single" w:sz="8" w:space="0" w:color="auto"/>
            </w:tcBorders>
            <w:vAlign w:val="center"/>
          </w:tcPr>
          <w:p w:rsidR="006C7746" w:rsidRPr="00593B22" w:rsidRDefault="006C7746" w:rsidP="00E67E72">
            <w:pPr>
              <w:jc w:val="center"/>
              <w:rPr>
                <w:rFonts w:asciiTheme="minorHAnsi" w:hAnsiTheme="minorHAnsi" w:cs="Arial"/>
                <w:sz w:val="18"/>
                <w:szCs w:val="18"/>
              </w:rPr>
            </w:pPr>
            <w:r w:rsidRPr="00593B22">
              <w:rPr>
                <w:rFonts w:asciiTheme="minorHAnsi" w:hAnsiTheme="minorHAnsi" w:cs="Arial"/>
                <w:sz w:val="18"/>
                <w:szCs w:val="18"/>
              </w:rPr>
              <w:t>0</w:t>
            </w:r>
          </w:p>
        </w:tc>
        <w:tc>
          <w:tcPr>
            <w:tcW w:w="1417" w:type="dxa"/>
            <w:tcBorders>
              <w:top w:val="single" w:sz="4" w:space="0" w:color="auto"/>
              <w:left w:val="single" w:sz="8" w:space="0" w:color="auto"/>
              <w:bottom w:val="single" w:sz="8" w:space="0" w:color="auto"/>
              <w:right w:val="single" w:sz="4" w:space="0" w:color="auto"/>
            </w:tcBorders>
            <w:vAlign w:val="center"/>
          </w:tcPr>
          <w:p w:rsidR="006C7746" w:rsidRPr="008A011E" w:rsidRDefault="00692811" w:rsidP="00E67E72">
            <w:pPr>
              <w:jc w:val="center"/>
              <w:rPr>
                <w:rFonts w:asciiTheme="minorHAnsi" w:hAnsiTheme="minorHAnsi" w:cs="Arial"/>
                <w:b/>
                <w:sz w:val="18"/>
                <w:szCs w:val="18"/>
              </w:rPr>
            </w:pPr>
            <w:r>
              <w:rPr>
                <w:rFonts w:asciiTheme="minorHAnsi" w:hAnsiTheme="minorHAnsi" w:cs="Arial"/>
                <w:b/>
                <w:sz w:val="18"/>
                <w:szCs w:val="18"/>
              </w:rPr>
              <w:t>0</w:t>
            </w:r>
          </w:p>
        </w:tc>
        <w:tc>
          <w:tcPr>
            <w:tcW w:w="1418" w:type="dxa"/>
            <w:tcBorders>
              <w:top w:val="single" w:sz="4" w:space="0" w:color="auto"/>
              <w:left w:val="nil"/>
              <w:bottom w:val="single" w:sz="8" w:space="0" w:color="auto"/>
              <w:right w:val="single" w:sz="8" w:space="0" w:color="auto"/>
            </w:tcBorders>
            <w:vAlign w:val="center"/>
          </w:tcPr>
          <w:p w:rsidR="006C7746" w:rsidRPr="00593B22" w:rsidRDefault="006C7746" w:rsidP="00E67E72">
            <w:pPr>
              <w:jc w:val="center"/>
              <w:rPr>
                <w:rFonts w:asciiTheme="minorHAnsi" w:hAnsiTheme="minorHAnsi" w:cs="Arial"/>
                <w:color w:val="C00000"/>
                <w:sz w:val="18"/>
                <w:szCs w:val="18"/>
              </w:rPr>
            </w:pPr>
            <w:r w:rsidRPr="00692811">
              <w:rPr>
                <w:rFonts w:asciiTheme="minorHAnsi" w:hAnsiTheme="minorHAnsi" w:cs="Arial"/>
                <w:sz w:val="18"/>
                <w:szCs w:val="18"/>
              </w:rPr>
              <w:t>0</w:t>
            </w:r>
          </w:p>
        </w:tc>
      </w:tr>
      <w:tr w:rsidR="006C7746" w:rsidRPr="00DA1D3B" w:rsidTr="006C7746">
        <w:trPr>
          <w:trHeight w:val="315"/>
          <w:jc w:val="center"/>
        </w:trPr>
        <w:tc>
          <w:tcPr>
            <w:tcW w:w="2268" w:type="dxa"/>
            <w:tcBorders>
              <w:top w:val="single" w:sz="12" w:space="0" w:color="auto"/>
              <w:left w:val="single" w:sz="8" w:space="0" w:color="auto"/>
              <w:bottom w:val="single" w:sz="8" w:space="0" w:color="auto"/>
              <w:right w:val="single" w:sz="12" w:space="0" w:color="auto"/>
            </w:tcBorders>
            <w:shd w:val="clear" w:color="auto" w:fill="D9D9D9"/>
            <w:vAlign w:val="center"/>
            <w:hideMark/>
          </w:tcPr>
          <w:p w:rsidR="006C7746" w:rsidRPr="008262CC" w:rsidRDefault="006C7746"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CELKEM</w:t>
            </w:r>
          </w:p>
        </w:tc>
        <w:tc>
          <w:tcPr>
            <w:tcW w:w="1985" w:type="dxa"/>
            <w:tcBorders>
              <w:top w:val="single" w:sz="12" w:space="0" w:color="auto"/>
              <w:left w:val="single" w:sz="12" w:space="0" w:color="auto"/>
              <w:bottom w:val="single" w:sz="8" w:space="0" w:color="auto"/>
              <w:right w:val="single" w:sz="8" w:space="0" w:color="auto"/>
            </w:tcBorders>
            <w:shd w:val="clear" w:color="auto" w:fill="D9D9D9"/>
            <w:vAlign w:val="center"/>
          </w:tcPr>
          <w:p w:rsidR="006C7746" w:rsidRPr="00593B22" w:rsidRDefault="00593B22" w:rsidP="00E67E72">
            <w:pPr>
              <w:jc w:val="center"/>
              <w:rPr>
                <w:rFonts w:asciiTheme="minorHAnsi" w:hAnsiTheme="minorHAnsi" w:cs="Arial"/>
                <w:bCs/>
                <w:sz w:val="18"/>
                <w:szCs w:val="18"/>
              </w:rPr>
            </w:pPr>
            <w:r w:rsidRPr="00593B22">
              <w:rPr>
                <w:rFonts w:asciiTheme="minorHAnsi" w:hAnsiTheme="minorHAnsi" w:cs="Arial"/>
                <w:bCs/>
                <w:sz w:val="18"/>
                <w:szCs w:val="18"/>
              </w:rPr>
              <w:t>36 666,12</w:t>
            </w:r>
          </w:p>
        </w:tc>
        <w:tc>
          <w:tcPr>
            <w:tcW w:w="2122" w:type="dxa"/>
            <w:tcBorders>
              <w:top w:val="single" w:sz="12" w:space="0" w:color="auto"/>
              <w:left w:val="single" w:sz="8" w:space="0" w:color="auto"/>
              <w:bottom w:val="single" w:sz="8" w:space="0" w:color="auto"/>
              <w:right w:val="single" w:sz="8" w:space="0" w:color="auto"/>
            </w:tcBorders>
            <w:shd w:val="clear" w:color="auto" w:fill="D9D9D9"/>
            <w:vAlign w:val="center"/>
          </w:tcPr>
          <w:p w:rsidR="006C7746" w:rsidRPr="000E2EE3" w:rsidRDefault="00AF680A" w:rsidP="00FB421C">
            <w:pPr>
              <w:ind w:left="-208"/>
              <w:jc w:val="center"/>
              <w:rPr>
                <w:rFonts w:asciiTheme="minorHAnsi" w:hAnsiTheme="minorHAnsi" w:cs="Arial"/>
                <w:b/>
                <w:bCs/>
                <w:sz w:val="18"/>
                <w:szCs w:val="18"/>
              </w:rPr>
            </w:pPr>
            <w:r>
              <w:rPr>
                <w:rFonts w:asciiTheme="minorHAnsi" w:hAnsiTheme="minorHAnsi" w:cs="Arial"/>
                <w:b/>
                <w:bCs/>
                <w:sz w:val="18"/>
                <w:szCs w:val="18"/>
              </w:rPr>
              <w:t>37 45</w:t>
            </w:r>
            <w:r w:rsidR="00FB421C">
              <w:rPr>
                <w:rFonts w:asciiTheme="minorHAnsi" w:hAnsiTheme="minorHAnsi" w:cs="Arial"/>
                <w:b/>
                <w:bCs/>
                <w:sz w:val="18"/>
                <w:szCs w:val="18"/>
              </w:rPr>
              <w:t>8</w:t>
            </w:r>
            <w:r>
              <w:rPr>
                <w:rFonts w:asciiTheme="minorHAnsi" w:hAnsiTheme="minorHAnsi" w:cs="Arial"/>
                <w:b/>
                <w:bCs/>
                <w:sz w:val="18"/>
                <w:szCs w:val="18"/>
              </w:rPr>
              <w:t>,25</w:t>
            </w:r>
          </w:p>
        </w:tc>
        <w:tc>
          <w:tcPr>
            <w:tcW w:w="1426" w:type="dxa"/>
            <w:tcBorders>
              <w:top w:val="single" w:sz="12" w:space="0" w:color="auto"/>
              <w:left w:val="single" w:sz="8" w:space="0" w:color="auto"/>
              <w:bottom w:val="single" w:sz="8" w:space="0" w:color="auto"/>
              <w:right w:val="single" w:sz="8" w:space="0" w:color="auto"/>
            </w:tcBorders>
            <w:shd w:val="clear" w:color="auto" w:fill="D9D9D9"/>
            <w:vAlign w:val="center"/>
          </w:tcPr>
          <w:p w:rsidR="006C7746" w:rsidRPr="00593B22" w:rsidRDefault="00593B22" w:rsidP="00E67E72">
            <w:pPr>
              <w:jc w:val="center"/>
              <w:rPr>
                <w:rFonts w:asciiTheme="minorHAnsi" w:hAnsiTheme="minorHAnsi" w:cs="Arial"/>
                <w:bCs/>
                <w:sz w:val="18"/>
                <w:szCs w:val="18"/>
              </w:rPr>
            </w:pPr>
            <w:r w:rsidRPr="00593B22">
              <w:rPr>
                <w:rFonts w:asciiTheme="minorHAnsi" w:hAnsiTheme="minorHAnsi" w:cs="Arial"/>
                <w:bCs/>
                <w:sz w:val="18"/>
                <w:szCs w:val="18"/>
              </w:rPr>
              <w:t>13 777</w:t>
            </w:r>
          </w:p>
        </w:tc>
        <w:tc>
          <w:tcPr>
            <w:tcW w:w="1417" w:type="dxa"/>
            <w:tcBorders>
              <w:top w:val="single" w:sz="12" w:space="0" w:color="auto"/>
              <w:left w:val="single" w:sz="8" w:space="0" w:color="auto"/>
              <w:bottom w:val="single" w:sz="8" w:space="0" w:color="auto"/>
              <w:right w:val="single" w:sz="4" w:space="0" w:color="auto"/>
            </w:tcBorders>
            <w:shd w:val="clear" w:color="auto" w:fill="D9D9D9"/>
            <w:vAlign w:val="center"/>
          </w:tcPr>
          <w:p w:rsidR="006C7746" w:rsidRPr="008A011E" w:rsidRDefault="00AF680A" w:rsidP="00466D9E">
            <w:pPr>
              <w:jc w:val="center"/>
              <w:rPr>
                <w:rFonts w:asciiTheme="minorHAnsi" w:hAnsiTheme="minorHAnsi" w:cs="Arial"/>
                <w:b/>
                <w:bCs/>
                <w:sz w:val="18"/>
                <w:szCs w:val="18"/>
              </w:rPr>
            </w:pPr>
            <w:r>
              <w:rPr>
                <w:rFonts w:asciiTheme="minorHAnsi" w:hAnsiTheme="minorHAnsi" w:cs="Arial"/>
                <w:b/>
                <w:bCs/>
                <w:sz w:val="18"/>
                <w:szCs w:val="18"/>
              </w:rPr>
              <w:t>13 365</w:t>
            </w:r>
          </w:p>
        </w:tc>
        <w:tc>
          <w:tcPr>
            <w:tcW w:w="1418" w:type="dxa"/>
            <w:tcBorders>
              <w:top w:val="single" w:sz="12" w:space="0" w:color="auto"/>
              <w:left w:val="nil"/>
              <w:bottom w:val="single" w:sz="8" w:space="0" w:color="auto"/>
              <w:right w:val="single" w:sz="8" w:space="0" w:color="auto"/>
            </w:tcBorders>
            <w:shd w:val="clear" w:color="auto" w:fill="D9D9D9"/>
            <w:vAlign w:val="center"/>
          </w:tcPr>
          <w:p w:rsidR="006C7746" w:rsidRPr="00593B22" w:rsidRDefault="00692811" w:rsidP="00970C47">
            <w:pPr>
              <w:jc w:val="center"/>
              <w:rPr>
                <w:rFonts w:asciiTheme="minorHAnsi" w:hAnsiTheme="minorHAnsi" w:cs="Arial"/>
                <w:bCs/>
                <w:color w:val="C00000"/>
                <w:sz w:val="18"/>
                <w:szCs w:val="18"/>
              </w:rPr>
            </w:pPr>
            <w:r w:rsidRPr="00692811">
              <w:rPr>
                <w:rFonts w:asciiTheme="minorHAnsi" w:hAnsiTheme="minorHAnsi" w:cs="Arial"/>
                <w:bCs/>
                <w:sz w:val="18"/>
                <w:szCs w:val="18"/>
              </w:rPr>
              <w:t>14 538</w:t>
            </w:r>
          </w:p>
        </w:tc>
      </w:tr>
    </w:tbl>
    <w:p w:rsidR="004F6E52" w:rsidRPr="008262CC" w:rsidRDefault="004F6E52" w:rsidP="004C4077">
      <w:pPr>
        <w:pStyle w:val="Zkladntext"/>
        <w:spacing w:before="60"/>
        <w:rPr>
          <w:rFonts w:asciiTheme="minorHAnsi" w:hAnsiTheme="minorHAnsi" w:cs="Arial"/>
          <w:sz w:val="16"/>
          <w:szCs w:val="16"/>
        </w:rPr>
      </w:pPr>
      <w:r w:rsidRPr="008262CC">
        <w:rPr>
          <w:rFonts w:asciiTheme="minorHAnsi" w:hAnsiTheme="minorHAnsi" w:cs="Arial"/>
          <w:sz w:val="16"/>
          <w:szCs w:val="16"/>
        </w:rPr>
        <w:t>Zdroj: jednotliví investoři</w:t>
      </w:r>
    </w:p>
    <w:p w:rsidR="00F36367" w:rsidRDefault="004C4077" w:rsidP="00207613">
      <w:pPr>
        <w:pStyle w:val="Zkladntext"/>
        <w:tabs>
          <w:tab w:val="left" w:pos="0"/>
          <w:tab w:val="left" w:pos="142"/>
        </w:tabs>
        <w:spacing w:after="120"/>
        <w:rPr>
          <w:rFonts w:asciiTheme="minorHAnsi" w:hAnsiTheme="minorHAnsi" w:cs="Arial"/>
          <w:sz w:val="16"/>
          <w:szCs w:val="16"/>
        </w:rPr>
      </w:pPr>
      <w:r w:rsidRPr="008262CC">
        <w:rPr>
          <w:rFonts w:asciiTheme="minorHAnsi" w:hAnsiTheme="minorHAnsi" w:cs="Arial"/>
          <w:sz w:val="16"/>
          <w:szCs w:val="16"/>
        </w:rPr>
        <w:t>* fáze projektové přípravy</w:t>
      </w:r>
      <w:r w:rsidR="000D21F2">
        <w:rPr>
          <w:rFonts w:asciiTheme="minorHAnsi" w:hAnsiTheme="minorHAnsi" w:cs="Arial"/>
          <w:sz w:val="16"/>
          <w:szCs w:val="16"/>
        </w:rPr>
        <w:t>, investice do nákupu pozemků rozvojové zóny dle KS 3300/2018/MJ ve znění Dodatku č. 1 (hrazeno 07/2019)</w:t>
      </w:r>
      <w:r w:rsidR="00100547" w:rsidRPr="008262CC">
        <w:rPr>
          <w:rFonts w:asciiTheme="minorHAnsi" w:hAnsiTheme="minorHAnsi" w:cs="Arial"/>
          <w:sz w:val="16"/>
          <w:szCs w:val="16"/>
        </w:rPr>
        <w:tab/>
      </w:r>
    </w:p>
    <w:p w:rsidR="00AE4791" w:rsidRPr="008262CC" w:rsidRDefault="00100547" w:rsidP="00207613">
      <w:pPr>
        <w:pStyle w:val="Zkladntext"/>
        <w:tabs>
          <w:tab w:val="left" w:pos="0"/>
          <w:tab w:val="left" w:pos="142"/>
        </w:tabs>
        <w:spacing w:after="120"/>
        <w:rPr>
          <w:rFonts w:asciiTheme="minorHAnsi" w:hAnsiTheme="minorHAnsi" w:cs="Arial"/>
          <w:sz w:val="16"/>
          <w:szCs w:val="16"/>
        </w:rPr>
      </w:pPr>
      <w:r w:rsidRPr="008262CC">
        <w:rPr>
          <w:rFonts w:asciiTheme="minorHAnsi" w:hAnsiTheme="minorHAnsi" w:cs="Arial"/>
          <w:sz w:val="16"/>
          <w:szCs w:val="16"/>
        </w:rPr>
        <w:tab/>
      </w:r>
      <w:r w:rsidR="00C34EFC" w:rsidRPr="008262CC">
        <w:rPr>
          <w:rFonts w:asciiTheme="minorHAnsi" w:hAnsiTheme="minorHAnsi" w:cs="Arial"/>
          <w:sz w:val="16"/>
          <w:szCs w:val="16"/>
        </w:rPr>
        <w:t xml:space="preserve"> </w:t>
      </w:r>
    </w:p>
    <w:p w:rsidR="00F32650" w:rsidRPr="008262CC" w:rsidRDefault="00A305C6" w:rsidP="008A42ED">
      <w:pPr>
        <w:pStyle w:val="Zkladntext"/>
        <w:numPr>
          <w:ilvl w:val="0"/>
          <w:numId w:val="1"/>
        </w:numPr>
        <w:spacing w:after="120"/>
        <w:ind w:left="641" w:hanging="357"/>
        <w:jc w:val="left"/>
        <w:rPr>
          <w:rFonts w:asciiTheme="minorHAnsi" w:hAnsiTheme="minorHAnsi" w:cs="Arial"/>
          <w:b/>
          <w:sz w:val="22"/>
          <w:szCs w:val="22"/>
        </w:rPr>
      </w:pPr>
      <w:r w:rsidRPr="008262CC">
        <w:rPr>
          <w:rFonts w:asciiTheme="minorHAnsi" w:hAnsiTheme="minorHAnsi" w:cs="Arial"/>
          <w:b/>
          <w:sz w:val="22"/>
          <w:szCs w:val="22"/>
        </w:rPr>
        <w:t>Průmyslov</w:t>
      </w:r>
      <w:r w:rsidR="005C7C86" w:rsidRPr="008262CC">
        <w:rPr>
          <w:rFonts w:asciiTheme="minorHAnsi" w:hAnsiTheme="minorHAnsi" w:cs="Arial"/>
          <w:b/>
          <w:sz w:val="22"/>
          <w:szCs w:val="22"/>
        </w:rPr>
        <w:t>á</w:t>
      </w:r>
      <w:r w:rsidRPr="008262CC">
        <w:rPr>
          <w:rFonts w:asciiTheme="minorHAnsi" w:hAnsiTheme="minorHAnsi" w:cs="Arial"/>
          <w:b/>
          <w:sz w:val="22"/>
          <w:szCs w:val="22"/>
        </w:rPr>
        <w:t xml:space="preserve"> zón</w:t>
      </w:r>
      <w:r w:rsidR="005C7C86" w:rsidRPr="008262CC">
        <w:rPr>
          <w:rFonts w:asciiTheme="minorHAnsi" w:hAnsiTheme="minorHAnsi" w:cs="Arial"/>
          <w:b/>
          <w:sz w:val="22"/>
          <w:szCs w:val="22"/>
        </w:rPr>
        <w:t>a</w:t>
      </w:r>
      <w:r w:rsidRPr="008262CC">
        <w:rPr>
          <w:rFonts w:asciiTheme="minorHAnsi" w:hAnsiTheme="minorHAnsi" w:cs="Arial"/>
          <w:b/>
          <w:sz w:val="22"/>
          <w:szCs w:val="22"/>
        </w:rPr>
        <w:t xml:space="preserve"> Ostrava-Hrabová </w:t>
      </w:r>
    </w:p>
    <w:tbl>
      <w:tblPr>
        <w:tblW w:w="10636" w:type="dxa"/>
        <w:jc w:val="center"/>
        <w:tblCellMar>
          <w:left w:w="70" w:type="dxa"/>
          <w:right w:w="70" w:type="dxa"/>
        </w:tblCellMar>
        <w:tblLook w:val="04A0" w:firstRow="1" w:lastRow="0" w:firstColumn="1" w:lastColumn="0" w:noHBand="0" w:noVBand="1"/>
      </w:tblPr>
      <w:tblGrid>
        <w:gridCol w:w="2268"/>
        <w:gridCol w:w="1985"/>
        <w:gridCol w:w="2122"/>
        <w:gridCol w:w="1426"/>
        <w:gridCol w:w="1417"/>
        <w:gridCol w:w="1418"/>
      </w:tblGrid>
      <w:tr w:rsidR="00A55CE8" w:rsidRPr="008262CC" w:rsidTr="00A55CE8">
        <w:trPr>
          <w:trHeight w:val="746"/>
          <w:jc w:val="center"/>
        </w:trPr>
        <w:tc>
          <w:tcPr>
            <w:tcW w:w="2268" w:type="dxa"/>
            <w:tcBorders>
              <w:top w:val="single" w:sz="8" w:space="0" w:color="auto"/>
              <w:left w:val="single" w:sz="8" w:space="0" w:color="auto"/>
              <w:bottom w:val="single" w:sz="12" w:space="0" w:color="auto"/>
              <w:right w:val="single" w:sz="12" w:space="0" w:color="auto"/>
            </w:tcBorders>
            <w:shd w:val="clear" w:color="auto" w:fill="D9D9D9"/>
            <w:vAlign w:val="center"/>
            <w:hideMark/>
          </w:tcPr>
          <w:p w:rsidR="00A55CE8" w:rsidRPr="008262CC" w:rsidRDefault="00A55CE8" w:rsidP="00766B9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Investoři </w:t>
            </w:r>
            <w:r w:rsidRPr="008262CC">
              <w:rPr>
                <w:rFonts w:asciiTheme="minorHAnsi" w:hAnsiTheme="minorHAnsi" w:cs="Arial"/>
                <w:b/>
                <w:bCs/>
                <w:color w:val="000000"/>
                <w:sz w:val="18"/>
                <w:szCs w:val="18"/>
              </w:rPr>
              <w:t xml:space="preserve"> </w:t>
            </w:r>
          </w:p>
        </w:tc>
        <w:tc>
          <w:tcPr>
            <w:tcW w:w="1985" w:type="dxa"/>
            <w:tcBorders>
              <w:top w:val="single" w:sz="8" w:space="0" w:color="auto"/>
              <w:left w:val="single" w:sz="12" w:space="0" w:color="auto"/>
              <w:bottom w:val="single" w:sz="12" w:space="0" w:color="auto"/>
              <w:right w:val="single" w:sz="8" w:space="0" w:color="auto"/>
            </w:tcBorders>
            <w:shd w:val="clear" w:color="auto" w:fill="D9D9D9"/>
            <w:vAlign w:val="center"/>
          </w:tcPr>
          <w:p w:rsidR="00A55CE8" w:rsidRDefault="00A55CE8" w:rsidP="00766B9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w:t>
            </w:r>
            <w:proofErr w:type="gramStart"/>
            <w:r>
              <w:rPr>
                <w:rFonts w:asciiTheme="minorHAnsi" w:hAnsiTheme="minorHAnsi" w:cs="Arial"/>
                <w:b/>
                <w:bCs/>
                <w:color w:val="000000"/>
                <w:sz w:val="18"/>
                <w:szCs w:val="18"/>
              </w:rPr>
              <w:t>investice  ze</w:t>
            </w:r>
            <w:proofErr w:type="gramEnd"/>
            <w:r>
              <w:rPr>
                <w:rFonts w:asciiTheme="minorHAnsi" w:hAnsiTheme="minorHAnsi" w:cs="Arial"/>
                <w:b/>
                <w:bCs/>
                <w:color w:val="000000"/>
                <w:sz w:val="18"/>
                <w:szCs w:val="18"/>
              </w:rPr>
              <w:t xml:space="preserve"> strany investora </w:t>
            </w:r>
            <w:r w:rsidRPr="008262CC">
              <w:rPr>
                <w:rFonts w:asciiTheme="minorHAnsi" w:hAnsiTheme="minorHAnsi" w:cs="Arial"/>
                <w:b/>
                <w:bCs/>
                <w:color w:val="000000"/>
                <w:sz w:val="18"/>
                <w:szCs w:val="18"/>
              </w:rPr>
              <w:t xml:space="preserve">k </w:t>
            </w:r>
            <w:r w:rsidR="00031C6D">
              <w:rPr>
                <w:rFonts w:asciiTheme="minorHAnsi" w:hAnsiTheme="minorHAnsi" w:cs="Arial"/>
                <w:b/>
                <w:bCs/>
                <w:color w:val="000000"/>
                <w:sz w:val="18"/>
                <w:szCs w:val="18"/>
              </w:rPr>
              <w:t>31</w:t>
            </w:r>
            <w:r w:rsidR="00031C6D" w:rsidRPr="008262CC">
              <w:rPr>
                <w:rFonts w:asciiTheme="minorHAnsi" w:hAnsiTheme="minorHAnsi" w:cs="Arial"/>
                <w:b/>
                <w:bCs/>
                <w:color w:val="000000"/>
                <w:sz w:val="18"/>
                <w:szCs w:val="18"/>
              </w:rPr>
              <w:t>.</w:t>
            </w:r>
            <w:r w:rsidR="00031C6D">
              <w:rPr>
                <w:rFonts w:asciiTheme="minorHAnsi" w:hAnsiTheme="minorHAnsi" w:cs="Arial"/>
                <w:b/>
                <w:bCs/>
                <w:color w:val="000000"/>
                <w:sz w:val="18"/>
                <w:szCs w:val="18"/>
              </w:rPr>
              <w:t>12</w:t>
            </w:r>
            <w:r w:rsidR="00031C6D" w:rsidRPr="008262CC">
              <w:rPr>
                <w:rFonts w:asciiTheme="minorHAnsi" w:hAnsiTheme="minorHAnsi" w:cs="Arial"/>
                <w:b/>
                <w:bCs/>
                <w:color w:val="000000"/>
                <w:sz w:val="18"/>
                <w:szCs w:val="18"/>
              </w:rPr>
              <w:t>.</w:t>
            </w:r>
            <w:r w:rsidR="00031C6D">
              <w:rPr>
                <w:rFonts w:asciiTheme="minorHAnsi" w:hAnsiTheme="minorHAnsi" w:cs="Arial"/>
                <w:b/>
                <w:bCs/>
                <w:color w:val="000000"/>
                <w:sz w:val="18"/>
                <w:szCs w:val="18"/>
              </w:rPr>
              <w:t>2018</w:t>
            </w:r>
          </w:p>
          <w:p w:rsidR="00A55CE8" w:rsidRPr="008262CC" w:rsidRDefault="00A55CE8"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2122" w:type="dxa"/>
            <w:tcBorders>
              <w:top w:val="single" w:sz="8" w:space="0" w:color="auto"/>
              <w:left w:val="single" w:sz="8" w:space="0" w:color="auto"/>
              <w:bottom w:val="single" w:sz="12" w:space="0" w:color="auto"/>
              <w:right w:val="single" w:sz="8" w:space="0" w:color="auto"/>
            </w:tcBorders>
            <w:shd w:val="clear" w:color="auto" w:fill="D9D9D9"/>
            <w:vAlign w:val="center"/>
          </w:tcPr>
          <w:p w:rsidR="00A55CE8" w:rsidRDefault="00A55CE8" w:rsidP="00766B9B">
            <w:pPr>
              <w:ind w:left="-208"/>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w:t>
            </w:r>
            <w:proofErr w:type="gramStart"/>
            <w:r>
              <w:rPr>
                <w:rFonts w:asciiTheme="minorHAnsi" w:hAnsiTheme="minorHAnsi" w:cs="Arial"/>
                <w:b/>
                <w:bCs/>
                <w:color w:val="000000"/>
                <w:sz w:val="18"/>
                <w:szCs w:val="18"/>
              </w:rPr>
              <w:t>investice  ze</w:t>
            </w:r>
            <w:proofErr w:type="gramEnd"/>
            <w:r>
              <w:rPr>
                <w:rFonts w:asciiTheme="minorHAnsi" w:hAnsiTheme="minorHAnsi" w:cs="Arial"/>
                <w:b/>
                <w:bCs/>
                <w:color w:val="000000"/>
                <w:sz w:val="18"/>
                <w:szCs w:val="18"/>
              </w:rPr>
              <w:t xml:space="preserve"> strany investora </w:t>
            </w:r>
            <w:r w:rsidRPr="008262CC">
              <w:rPr>
                <w:rFonts w:asciiTheme="minorHAnsi" w:hAnsiTheme="minorHAnsi" w:cs="Arial"/>
                <w:b/>
                <w:bCs/>
                <w:color w:val="000000"/>
                <w:sz w:val="18"/>
                <w:szCs w:val="18"/>
              </w:rPr>
              <w:t xml:space="preserve">k </w:t>
            </w:r>
            <w:r>
              <w:rPr>
                <w:rFonts w:asciiTheme="minorHAnsi" w:hAnsiTheme="minorHAnsi" w:cs="Arial"/>
                <w:b/>
                <w:bCs/>
                <w:color w:val="000000"/>
                <w:sz w:val="18"/>
                <w:szCs w:val="18"/>
              </w:rPr>
              <w:t>3</w:t>
            </w:r>
            <w:r w:rsidR="00031C6D">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031C6D">
              <w:rPr>
                <w:rFonts w:asciiTheme="minorHAnsi" w:hAnsiTheme="minorHAnsi" w:cs="Arial"/>
                <w:b/>
                <w:bCs/>
                <w:color w:val="000000"/>
                <w:sz w:val="18"/>
                <w:szCs w:val="18"/>
              </w:rPr>
              <w:t>06</w:t>
            </w:r>
            <w:r w:rsidRPr="008262CC">
              <w:rPr>
                <w:rFonts w:asciiTheme="minorHAnsi" w:hAnsiTheme="minorHAnsi" w:cs="Arial"/>
                <w:b/>
                <w:bCs/>
                <w:color w:val="000000"/>
                <w:sz w:val="18"/>
                <w:szCs w:val="18"/>
              </w:rPr>
              <w:t>.</w:t>
            </w:r>
            <w:r w:rsidR="00CE00B9">
              <w:rPr>
                <w:rFonts w:asciiTheme="minorHAnsi" w:hAnsiTheme="minorHAnsi" w:cs="Arial"/>
                <w:b/>
                <w:bCs/>
                <w:color w:val="000000"/>
                <w:sz w:val="18"/>
                <w:szCs w:val="18"/>
              </w:rPr>
              <w:t>20</w:t>
            </w:r>
            <w:r w:rsidR="00BD171A">
              <w:rPr>
                <w:rFonts w:asciiTheme="minorHAnsi" w:hAnsiTheme="minorHAnsi" w:cs="Arial"/>
                <w:b/>
                <w:bCs/>
                <w:color w:val="000000"/>
                <w:sz w:val="18"/>
                <w:szCs w:val="18"/>
              </w:rPr>
              <w:t>1</w:t>
            </w:r>
            <w:r w:rsidR="00031C6D">
              <w:rPr>
                <w:rFonts w:asciiTheme="minorHAnsi" w:hAnsiTheme="minorHAnsi" w:cs="Arial"/>
                <w:b/>
                <w:bCs/>
                <w:color w:val="000000"/>
                <w:sz w:val="18"/>
                <w:szCs w:val="18"/>
              </w:rPr>
              <w:t>9</w:t>
            </w:r>
          </w:p>
          <w:p w:rsidR="00A55CE8" w:rsidRPr="008262CC" w:rsidRDefault="00A55CE8" w:rsidP="00766B9B">
            <w:pPr>
              <w:ind w:left="-208"/>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1426" w:type="dxa"/>
            <w:tcBorders>
              <w:top w:val="single" w:sz="8" w:space="0" w:color="auto"/>
              <w:left w:val="single" w:sz="8" w:space="0" w:color="auto"/>
              <w:bottom w:val="single" w:sz="12" w:space="0" w:color="auto"/>
              <w:right w:val="single" w:sz="8" w:space="0" w:color="auto"/>
            </w:tcBorders>
            <w:shd w:val="clear" w:color="auto" w:fill="D9D9D9"/>
            <w:vAlign w:val="center"/>
          </w:tcPr>
          <w:p w:rsidR="00A55CE8" w:rsidRPr="008262CC" w:rsidRDefault="00A55CE8" w:rsidP="00AB55D3">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sidR="00031C6D">
              <w:rPr>
                <w:rFonts w:asciiTheme="minorHAnsi" w:hAnsiTheme="minorHAnsi" w:cs="Arial"/>
                <w:b/>
                <w:bCs/>
                <w:color w:val="000000"/>
                <w:sz w:val="18"/>
                <w:szCs w:val="18"/>
              </w:rPr>
              <w:t>31</w:t>
            </w:r>
            <w:r w:rsidR="00031C6D" w:rsidRPr="008262CC">
              <w:rPr>
                <w:rFonts w:asciiTheme="minorHAnsi" w:hAnsiTheme="minorHAnsi" w:cs="Arial"/>
                <w:b/>
                <w:bCs/>
                <w:color w:val="000000"/>
                <w:sz w:val="18"/>
                <w:szCs w:val="18"/>
              </w:rPr>
              <w:t>.</w:t>
            </w:r>
            <w:r w:rsidR="00031C6D">
              <w:rPr>
                <w:rFonts w:asciiTheme="minorHAnsi" w:hAnsiTheme="minorHAnsi" w:cs="Arial"/>
                <w:b/>
                <w:bCs/>
                <w:color w:val="000000"/>
                <w:sz w:val="18"/>
                <w:szCs w:val="18"/>
              </w:rPr>
              <w:t>12</w:t>
            </w:r>
            <w:r w:rsidR="00031C6D" w:rsidRPr="008262CC">
              <w:rPr>
                <w:rFonts w:asciiTheme="minorHAnsi" w:hAnsiTheme="minorHAnsi" w:cs="Arial"/>
                <w:b/>
                <w:bCs/>
                <w:color w:val="000000"/>
                <w:sz w:val="18"/>
                <w:szCs w:val="18"/>
              </w:rPr>
              <w:t>.201</w:t>
            </w:r>
            <w:r w:rsidR="00031C6D">
              <w:rPr>
                <w:rFonts w:asciiTheme="minorHAnsi" w:hAnsiTheme="minorHAnsi" w:cs="Arial"/>
                <w:b/>
                <w:bCs/>
                <w:color w:val="000000"/>
                <w:sz w:val="18"/>
                <w:szCs w:val="18"/>
              </w:rPr>
              <w:t>8</w:t>
            </w:r>
          </w:p>
        </w:tc>
        <w:tc>
          <w:tcPr>
            <w:tcW w:w="1417" w:type="dxa"/>
            <w:tcBorders>
              <w:top w:val="single" w:sz="8" w:space="0" w:color="auto"/>
              <w:left w:val="single" w:sz="8" w:space="0" w:color="auto"/>
              <w:bottom w:val="single" w:sz="12" w:space="0" w:color="auto"/>
              <w:right w:val="single" w:sz="4" w:space="0" w:color="auto"/>
            </w:tcBorders>
            <w:shd w:val="clear" w:color="auto" w:fill="D9D9D9"/>
            <w:vAlign w:val="center"/>
            <w:hideMark/>
          </w:tcPr>
          <w:p w:rsidR="00A55CE8" w:rsidRPr="008262CC" w:rsidRDefault="00A55CE8" w:rsidP="00031C6D">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Pr>
                <w:rFonts w:asciiTheme="minorHAnsi" w:hAnsiTheme="minorHAnsi" w:cs="Arial"/>
                <w:b/>
                <w:bCs/>
                <w:color w:val="000000"/>
                <w:sz w:val="18"/>
                <w:szCs w:val="18"/>
              </w:rPr>
              <w:t>3</w:t>
            </w:r>
            <w:r w:rsidR="00031C6D">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031C6D">
              <w:rPr>
                <w:rFonts w:asciiTheme="minorHAnsi" w:hAnsiTheme="minorHAnsi" w:cs="Arial"/>
                <w:b/>
                <w:bCs/>
                <w:color w:val="000000"/>
                <w:sz w:val="18"/>
                <w:szCs w:val="18"/>
              </w:rPr>
              <w:t>06</w:t>
            </w:r>
            <w:r w:rsidRPr="008262CC">
              <w:rPr>
                <w:rFonts w:asciiTheme="minorHAnsi" w:hAnsiTheme="minorHAnsi" w:cs="Arial"/>
                <w:b/>
                <w:bCs/>
                <w:color w:val="000000"/>
                <w:sz w:val="18"/>
                <w:szCs w:val="18"/>
              </w:rPr>
              <w:t>.201</w:t>
            </w:r>
            <w:r w:rsidR="00031C6D">
              <w:rPr>
                <w:rFonts w:asciiTheme="minorHAnsi" w:hAnsiTheme="minorHAnsi" w:cs="Arial"/>
                <w:b/>
                <w:bCs/>
                <w:color w:val="000000"/>
                <w:sz w:val="18"/>
                <w:szCs w:val="18"/>
              </w:rPr>
              <w:t>9</w:t>
            </w:r>
          </w:p>
        </w:tc>
        <w:tc>
          <w:tcPr>
            <w:tcW w:w="1418" w:type="dxa"/>
            <w:tcBorders>
              <w:top w:val="single" w:sz="8" w:space="0" w:color="auto"/>
              <w:left w:val="nil"/>
              <w:bottom w:val="single" w:sz="12" w:space="0" w:color="auto"/>
              <w:right w:val="single" w:sz="8" w:space="0" w:color="auto"/>
            </w:tcBorders>
            <w:shd w:val="clear" w:color="auto" w:fill="D9D9D9"/>
            <w:vAlign w:val="center"/>
            <w:hideMark/>
          </w:tcPr>
          <w:p w:rsidR="00A55CE8" w:rsidRPr="008262CC" w:rsidRDefault="00A55CE8" w:rsidP="00031C6D">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Předpokládaný stav pracovních míst </w:t>
            </w:r>
            <w:r w:rsidRPr="008262CC">
              <w:rPr>
                <w:rFonts w:asciiTheme="minorHAnsi" w:hAnsiTheme="minorHAnsi" w:cs="Arial"/>
                <w:b/>
                <w:bCs/>
                <w:color w:val="000000"/>
                <w:sz w:val="18"/>
                <w:szCs w:val="18"/>
              </w:rPr>
              <w:br/>
              <w:t>k </w:t>
            </w:r>
            <w:r>
              <w:rPr>
                <w:rFonts w:asciiTheme="minorHAnsi" w:hAnsiTheme="minorHAnsi" w:cs="Arial"/>
                <w:b/>
                <w:bCs/>
                <w:color w:val="000000"/>
                <w:sz w:val="18"/>
                <w:szCs w:val="18"/>
              </w:rPr>
              <w:t>3</w:t>
            </w:r>
            <w:r w:rsidR="00031C6D">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031C6D">
              <w:rPr>
                <w:rFonts w:asciiTheme="minorHAnsi" w:hAnsiTheme="minorHAnsi" w:cs="Arial"/>
                <w:b/>
                <w:bCs/>
                <w:color w:val="000000"/>
                <w:sz w:val="18"/>
                <w:szCs w:val="18"/>
              </w:rPr>
              <w:t>06</w:t>
            </w:r>
            <w:r w:rsidRPr="008262CC">
              <w:rPr>
                <w:rFonts w:asciiTheme="minorHAnsi" w:hAnsiTheme="minorHAnsi" w:cs="Arial"/>
                <w:b/>
                <w:bCs/>
                <w:color w:val="000000"/>
                <w:sz w:val="18"/>
                <w:szCs w:val="18"/>
              </w:rPr>
              <w:t>.20</w:t>
            </w:r>
            <w:r w:rsidR="00031C6D">
              <w:rPr>
                <w:rFonts w:asciiTheme="minorHAnsi" w:hAnsiTheme="minorHAnsi" w:cs="Arial"/>
                <w:b/>
                <w:bCs/>
                <w:color w:val="000000"/>
                <w:sz w:val="18"/>
                <w:szCs w:val="18"/>
              </w:rPr>
              <w:t>20</w:t>
            </w:r>
          </w:p>
        </w:tc>
      </w:tr>
      <w:tr w:rsidR="00A55CE8" w:rsidRPr="008369BD" w:rsidTr="00A55CE8">
        <w:trPr>
          <w:trHeight w:val="543"/>
          <w:jc w:val="center"/>
        </w:trPr>
        <w:tc>
          <w:tcPr>
            <w:tcW w:w="2268" w:type="dxa"/>
            <w:tcBorders>
              <w:top w:val="single" w:sz="12" w:space="0" w:color="auto"/>
              <w:left w:val="single" w:sz="8" w:space="0" w:color="auto"/>
              <w:bottom w:val="single" w:sz="4" w:space="0" w:color="auto"/>
              <w:right w:val="single" w:sz="12" w:space="0" w:color="auto"/>
            </w:tcBorders>
            <w:vAlign w:val="center"/>
            <w:hideMark/>
          </w:tcPr>
          <w:p w:rsidR="00A55CE8" w:rsidRPr="008262CC" w:rsidRDefault="00A55CE8" w:rsidP="00766B9B">
            <w:pPr>
              <w:rPr>
                <w:rFonts w:asciiTheme="minorHAnsi" w:hAnsiTheme="minorHAnsi" w:cs="Arial"/>
                <w:color w:val="000000"/>
                <w:sz w:val="18"/>
                <w:szCs w:val="18"/>
              </w:rPr>
            </w:pPr>
            <w:r>
              <w:rPr>
                <w:rFonts w:asciiTheme="minorHAnsi" w:hAnsiTheme="minorHAnsi" w:cs="Arial"/>
                <w:color w:val="000000"/>
                <w:sz w:val="18"/>
                <w:szCs w:val="18"/>
              </w:rPr>
              <w:t xml:space="preserve">PEGATRON Czech, s.r.o. </w:t>
            </w:r>
            <w:r w:rsidR="00974B7F">
              <w:rPr>
                <w:rFonts w:asciiTheme="minorHAnsi" w:hAnsiTheme="minorHAnsi" w:cs="Arial"/>
                <w:color w:val="000000"/>
                <w:sz w:val="18"/>
                <w:szCs w:val="18"/>
              </w:rPr>
              <w:t>**</w:t>
            </w:r>
          </w:p>
        </w:tc>
        <w:tc>
          <w:tcPr>
            <w:tcW w:w="1985" w:type="dxa"/>
            <w:tcBorders>
              <w:top w:val="single" w:sz="12" w:space="0" w:color="auto"/>
              <w:left w:val="single" w:sz="12" w:space="0" w:color="auto"/>
              <w:bottom w:val="single" w:sz="4" w:space="0" w:color="auto"/>
              <w:right w:val="single" w:sz="8" w:space="0" w:color="auto"/>
            </w:tcBorders>
            <w:vAlign w:val="center"/>
          </w:tcPr>
          <w:p w:rsidR="00A55CE8" w:rsidRPr="009B6766" w:rsidRDefault="00031C6D" w:rsidP="0044176A">
            <w:pPr>
              <w:jc w:val="center"/>
              <w:rPr>
                <w:rFonts w:asciiTheme="minorHAnsi" w:hAnsiTheme="minorHAnsi" w:cs="Arial"/>
                <w:sz w:val="18"/>
                <w:szCs w:val="18"/>
              </w:rPr>
            </w:pPr>
            <w:r w:rsidRPr="009B6766">
              <w:rPr>
                <w:rFonts w:asciiTheme="minorHAnsi" w:hAnsiTheme="minorHAnsi" w:cs="Arial"/>
                <w:sz w:val="18"/>
                <w:szCs w:val="18"/>
              </w:rPr>
              <w:t>1 177,83</w:t>
            </w:r>
          </w:p>
        </w:tc>
        <w:tc>
          <w:tcPr>
            <w:tcW w:w="2122" w:type="dxa"/>
            <w:tcBorders>
              <w:top w:val="single" w:sz="12" w:space="0" w:color="auto"/>
              <w:left w:val="single" w:sz="8" w:space="0" w:color="auto"/>
              <w:bottom w:val="single" w:sz="4" w:space="0" w:color="auto"/>
              <w:right w:val="single" w:sz="8" w:space="0" w:color="auto"/>
            </w:tcBorders>
            <w:vAlign w:val="center"/>
          </w:tcPr>
          <w:p w:rsidR="00A55CE8" w:rsidRPr="00875D7E" w:rsidRDefault="00D539A4" w:rsidP="001843F7">
            <w:pPr>
              <w:ind w:left="-208"/>
              <w:jc w:val="center"/>
              <w:rPr>
                <w:rFonts w:asciiTheme="minorHAnsi" w:hAnsiTheme="minorHAnsi" w:cs="Arial"/>
                <w:b/>
                <w:sz w:val="18"/>
                <w:szCs w:val="18"/>
              </w:rPr>
            </w:pPr>
            <w:r w:rsidRPr="00875D7E">
              <w:rPr>
                <w:rFonts w:asciiTheme="minorHAnsi" w:hAnsiTheme="minorHAnsi" w:cs="Arial"/>
                <w:b/>
                <w:sz w:val="18"/>
                <w:szCs w:val="18"/>
              </w:rPr>
              <w:t>1 177,83</w:t>
            </w:r>
          </w:p>
        </w:tc>
        <w:tc>
          <w:tcPr>
            <w:tcW w:w="1426" w:type="dxa"/>
            <w:tcBorders>
              <w:top w:val="single" w:sz="12" w:space="0" w:color="auto"/>
              <w:left w:val="single" w:sz="8" w:space="0" w:color="auto"/>
              <w:bottom w:val="single" w:sz="4" w:space="0" w:color="auto"/>
              <w:right w:val="single" w:sz="8" w:space="0" w:color="auto"/>
            </w:tcBorders>
            <w:vAlign w:val="center"/>
          </w:tcPr>
          <w:p w:rsidR="00A55CE8" w:rsidRPr="009B6766" w:rsidRDefault="00031C6D" w:rsidP="00E67E72">
            <w:pPr>
              <w:jc w:val="center"/>
              <w:rPr>
                <w:rFonts w:asciiTheme="minorHAnsi" w:hAnsiTheme="minorHAnsi" w:cs="Arial"/>
                <w:sz w:val="18"/>
                <w:szCs w:val="18"/>
                <w:lang w:val="en-US"/>
              </w:rPr>
            </w:pPr>
            <w:r w:rsidRPr="009B6766">
              <w:rPr>
                <w:rFonts w:asciiTheme="minorHAnsi" w:hAnsiTheme="minorHAnsi" w:cs="Arial"/>
                <w:sz w:val="18"/>
                <w:szCs w:val="18"/>
                <w:lang w:val="en-US"/>
              </w:rPr>
              <w:t>1746/1274</w:t>
            </w:r>
          </w:p>
        </w:tc>
        <w:tc>
          <w:tcPr>
            <w:tcW w:w="1417" w:type="dxa"/>
            <w:tcBorders>
              <w:top w:val="single" w:sz="12" w:space="0" w:color="auto"/>
              <w:left w:val="single" w:sz="8" w:space="0" w:color="auto"/>
              <w:bottom w:val="single" w:sz="4" w:space="0" w:color="auto"/>
              <w:right w:val="single" w:sz="4" w:space="0" w:color="auto"/>
            </w:tcBorders>
            <w:vAlign w:val="center"/>
          </w:tcPr>
          <w:p w:rsidR="00A55CE8" w:rsidRPr="00875D7E" w:rsidRDefault="00D539A4" w:rsidP="00D539A4">
            <w:pPr>
              <w:jc w:val="center"/>
              <w:rPr>
                <w:rFonts w:asciiTheme="minorHAnsi" w:hAnsiTheme="minorHAnsi" w:cs="Arial"/>
                <w:b/>
                <w:sz w:val="18"/>
                <w:szCs w:val="18"/>
                <w:lang w:val="en-US"/>
              </w:rPr>
            </w:pPr>
            <w:r w:rsidRPr="00875D7E">
              <w:rPr>
                <w:rFonts w:asciiTheme="minorHAnsi" w:hAnsiTheme="minorHAnsi" w:cs="Arial"/>
                <w:b/>
                <w:sz w:val="18"/>
                <w:szCs w:val="18"/>
                <w:lang w:val="en-US"/>
              </w:rPr>
              <w:t>1165/708</w:t>
            </w:r>
          </w:p>
        </w:tc>
        <w:tc>
          <w:tcPr>
            <w:tcW w:w="1418" w:type="dxa"/>
            <w:tcBorders>
              <w:top w:val="single" w:sz="12" w:space="0" w:color="auto"/>
              <w:left w:val="nil"/>
              <w:bottom w:val="single" w:sz="4" w:space="0" w:color="auto"/>
              <w:right w:val="single" w:sz="8" w:space="0" w:color="auto"/>
            </w:tcBorders>
            <w:vAlign w:val="center"/>
          </w:tcPr>
          <w:p w:rsidR="00A55CE8" w:rsidRPr="009B6766" w:rsidRDefault="00D539A4" w:rsidP="00E67E72">
            <w:pPr>
              <w:jc w:val="center"/>
              <w:rPr>
                <w:rFonts w:asciiTheme="minorHAnsi" w:hAnsiTheme="minorHAnsi" w:cs="Arial"/>
                <w:color w:val="C00000"/>
                <w:sz w:val="18"/>
                <w:szCs w:val="18"/>
                <w:lang w:val="en-US"/>
              </w:rPr>
            </w:pPr>
            <w:r w:rsidRPr="00D539A4">
              <w:rPr>
                <w:rFonts w:asciiTheme="minorHAnsi" w:hAnsiTheme="minorHAnsi" w:cs="Arial"/>
                <w:sz w:val="18"/>
                <w:szCs w:val="18"/>
                <w:lang w:val="en-US"/>
              </w:rPr>
              <w:t>1500</w:t>
            </w:r>
          </w:p>
        </w:tc>
      </w:tr>
      <w:tr w:rsidR="00A55CE8" w:rsidRPr="008369BD" w:rsidTr="00A55CE8">
        <w:trPr>
          <w:trHeight w:val="300"/>
          <w:jc w:val="center"/>
        </w:trPr>
        <w:tc>
          <w:tcPr>
            <w:tcW w:w="2268" w:type="dxa"/>
            <w:tcBorders>
              <w:top w:val="nil"/>
              <w:left w:val="single" w:sz="8" w:space="0" w:color="auto"/>
              <w:bottom w:val="single" w:sz="4" w:space="0" w:color="auto"/>
              <w:right w:val="single" w:sz="12" w:space="0" w:color="auto"/>
            </w:tcBorders>
            <w:vAlign w:val="center"/>
            <w:hideMark/>
          </w:tcPr>
          <w:p w:rsidR="00A55CE8" w:rsidRPr="008262CC" w:rsidRDefault="00A55CE8" w:rsidP="00766B9B">
            <w:pPr>
              <w:rPr>
                <w:rFonts w:asciiTheme="minorHAnsi" w:hAnsiTheme="minorHAnsi" w:cs="Arial"/>
                <w:color w:val="000000"/>
                <w:sz w:val="18"/>
                <w:szCs w:val="18"/>
              </w:rPr>
            </w:pPr>
            <w:r>
              <w:rPr>
                <w:rFonts w:asciiTheme="minorHAnsi" w:hAnsiTheme="minorHAnsi" w:cs="Arial"/>
                <w:color w:val="000000"/>
                <w:sz w:val="18"/>
                <w:szCs w:val="18"/>
              </w:rPr>
              <w:t xml:space="preserve">CTP Invest, spol. s r.o. </w:t>
            </w:r>
          </w:p>
        </w:tc>
        <w:tc>
          <w:tcPr>
            <w:tcW w:w="1985" w:type="dxa"/>
            <w:tcBorders>
              <w:top w:val="nil"/>
              <w:left w:val="single" w:sz="12" w:space="0" w:color="auto"/>
              <w:bottom w:val="single" w:sz="4" w:space="0" w:color="auto"/>
              <w:right w:val="single" w:sz="8" w:space="0" w:color="auto"/>
            </w:tcBorders>
            <w:vAlign w:val="center"/>
          </w:tcPr>
          <w:p w:rsidR="00A55CE8" w:rsidRPr="009B6766" w:rsidRDefault="00031C6D" w:rsidP="0044176A">
            <w:pPr>
              <w:jc w:val="center"/>
              <w:rPr>
                <w:rFonts w:asciiTheme="minorHAnsi" w:hAnsiTheme="minorHAnsi" w:cs="Arial"/>
                <w:color w:val="808080" w:themeColor="background1" w:themeShade="80"/>
                <w:sz w:val="18"/>
                <w:szCs w:val="18"/>
              </w:rPr>
            </w:pPr>
            <w:r w:rsidRPr="009B6766">
              <w:rPr>
                <w:rFonts w:asciiTheme="minorHAnsi" w:hAnsiTheme="minorHAnsi" w:cs="Arial"/>
                <w:sz w:val="18"/>
                <w:szCs w:val="18"/>
              </w:rPr>
              <w:t>6 600,00</w:t>
            </w:r>
          </w:p>
        </w:tc>
        <w:tc>
          <w:tcPr>
            <w:tcW w:w="2122" w:type="dxa"/>
            <w:tcBorders>
              <w:top w:val="nil"/>
              <w:left w:val="single" w:sz="8" w:space="0" w:color="auto"/>
              <w:bottom w:val="single" w:sz="4" w:space="0" w:color="auto"/>
              <w:right w:val="single" w:sz="8" w:space="0" w:color="auto"/>
            </w:tcBorders>
            <w:vAlign w:val="center"/>
          </w:tcPr>
          <w:p w:rsidR="00A55CE8" w:rsidRPr="00875D7E" w:rsidRDefault="002761C3" w:rsidP="002761C3">
            <w:pPr>
              <w:ind w:left="-208"/>
              <w:jc w:val="center"/>
              <w:rPr>
                <w:rFonts w:asciiTheme="minorHAnsi" w:hAnsiTheme="minorHAnsi" w:cs="Arial"/>
                <w:b/>
                <w:color w:val="808080" w:themeColor="background1" w:themeShade="80"/>
                <w:sz w:val="18"/>
                <w:szCs w:val="18"/>
              </w:rPr>
            </w:pPr>
            <w:r w:rsidRPr="00875D7E">
              <w:rPr>
                <w:rFonts w:asciiTheme="minorHAnsi" w:hAnsiTheme="minorHAnsi" w:cs="Arial"/>
                <w:b/>
                <w:sz w:val="18"/>
                <w:szCs w:val="18"/>
              </w:rPr>
              <w:t>6 650,00</w:t>
            </w:r>
          </w:p>
        </w:tc>
        <w:tc>
          <w:tcPr>
            <w:tcW w:w="1426" w:type="dxa"/>
            <w:tcBorders>
              <w:top w:val="nil"/>
              <w:left w:val="single" w:sz="8" w:space="0" w:color="auto"/>
              <w:bottom w:val="single" w:sz="4" w:space="0" w:color="auto"/>
              <w:right w:val="single" w:sz="8" w:space="0" w:color="auto"/>
            </w:tcBorders>
            <w:vAlign w:val="center"/>
          </w:tcPr>
          <w:p w:rsidR="00A55CE8" w:rsidRPr="009B6766" w:rsidRDefault="00031C6D" w:rsidP="00E67E72">
            <w:pPr>
              <w:jc w:val="center"/>
              <w:rPr>
                <w:rFonts w:asciiTheme="minorHAnsi" w:hAnsiTheme="minorHAnsi" w:cs="Arial"/>
                <w:color w:val="808080" w:themeColor="background1" w:themeShade="80"/>
                <w:sz w:val="18"/>
                <w:szCs w:val="18"/>
              </w:rPr>
            </w:pPr>
            <w:r w:rsidRPr="009B6766">
              <w:rPr>
                <w:rFonts w:asciiTheme="minorHAnsi" w:hAnsiTheme="minorHAnsi" w:cs="Arial"/>
                <w:sz w:val="18"/>
                <w:szCs w:val="18"/>
              </w:rPr>
              <w:t>5 800</w:t>
            </w:r>
          </w:p>
        </w:tc>
        <w:tc>
          <w:tcPr>
            <w:tcW w:w="1417" w:type="dxa"/>
            <w:tcBorders>
              <w:top w:val="nil"/>
              <w:left w:val="single" w:sz="8" w:space="0" w:color="auto"/>
              <w:bottom w:val="single" w:sz="4" w:space="0" w:color="auto"/>
              <w:right w:val="single" w:sz="4" w:space="0" w:color="auto"/>
            </w:tcBorders>
            <w:vAlign w:val="center"/>
          </w:tcPr>
          <w:p w:rsidR="00A55CE8" w:rsidRPr="00875D7E" w:rsidRDefault="002761C3" w:rsidP="002761C3">
            <w:pPr>
              <w:jc w:val="center"/>
              <w:rPr>
                <w:rFonts w:asciiTheme="minorHAnsi" w:hAnsiTheme="minorHAnsi" w:cs="Arial"/>
                <w:b/>
                <w:color w:val="808080" w:themeColor="background1" w:themeShade="80"/>
                <w:sz w:val="18"/>
                <w:szCs w:val="18"/>
              </w:rPr>
            </w:pPr>
            <w:r w:rsidRPr="00875D7E">
              <w:rPr>
                <w:rFonts w:asciiTheme="minorHAnsi" w:hAnsiTheme="minorHAnsi" w:cs="Arial"/>
                <w:b/>
                <w:sz w:val="18"/>
                <w:szCs w:val="18"/>
              </w:rPr>
              <w:t>5 850</w:t>
            </w:r>
          </w:p>
        </w:tc>
        <w:tc>
          <w:tcPr>
            <w:tcW w:w="1418" w:type="dxa"/>
            <w:tcBorders>
              <w:top w:val="nil"/>
              <w:left w:val="nil"/>
              <w:bottom w:val="single" w:sz="4" w:space="0" w:color="auto"/>
              <w:right w:val="single" w:sz="8" w:space="0" w:color="auto"/>
            </w:tcBorders>
            <w:vAlign w:val="center"/>
          </w:tcPr>
          <w:p w:rsidR="00A55CE8" w:rsidRPr="009B6766" w:rsidRDefault="00A55CE8" w:rsidP="002761C3">
            <w:pPr>
              <w:jc w:val="center"/>
              <w:rPr>
                <w:rFonts w:asciiTheme="minorHAnsi" w:hAnsiTheme="minorHAnsi" w:cs="Arial"/>
                <w:color w:val="C00000"/>
                <w:sz w:val="18"/>
                <w:szCs w:val="18"/>
              </w:rPr>
            </w:pPr>
            <w:r w:rsidRPr="002761C3">
              <w:rPr>
                <w:rFonts w:asciiTheme="minorHAnsi" w:hAnsiTheme="minorHAnsi" w:cs="Arial"/>
                <w:sz w:val="18"/>
                <w:szCs w:val="18"/>
              </w:rPr>
              <w:t xml:space="preserve">6 </w:t>
            </w:r>
            <w:r w:rsidR="002761C3" w:rsidRPr="002761C3">
              <w:rPr>
                <w:rFonts w:asciiTheme="minorHAnsi" w:hAnsiTheme="minorHAnsi" w:cs="Arial"/>
                <w:sz w:val="18"/>
                <w:szCs w:val="18"/>
              </w:rPr>
              <w:t>5</w:t>
            </w:r>
            <w:r w:rsidR="003E17C6" w:rsidRPr="002761C3">
              <w:rPr>
                <w:rFonts w:asciiTheme="minorHAnsi" w:hAnsiTheme="minorHAnsi" w:cs="Arial"/>
                <w:sz w:val="18"/>
                <w:szCs w:val="18"/>
              </w:rPr>
              <w:t>00</w:t>
            </w:r>
          </w:p>
        </w:tc>
      </w:tr>
      <w:tr w:rsidR="00A55CE8" w:rsidRPr="008262CC" w:rsidTr="00A55CE8">
        <w:trPr>
          <w:trHeight w:val="408"/>
          <w:jc w:val="center"/>
        </w:trPr>
        <w:tc>
          <w:tcPr>
            <w:tcW w:w="2268" w:type="dxa"/>
            <w:tcBorders>
              <w:top w:val="single" w:sz="4" w:space="0" w:color="auto"/>
              <w:left w:val="single" w:sz="8" w:space="0" w:color="auto"/>
              <w:bottom w:val="single" w:sz="8" w:space="0" w:color="auto"/>
              <w:right w:val="single" w:sz="12" w:space="0" w:color="auto"/>
            </w:tcBorders>
            <w:vAlign w:val="center"/>
          </w:tcPr>
          <w:p w:rsidR="00A55CE8" w:rsidRPr="008262CC" w:rsidRDefault="00A55CE8" w:rsidP="00974B7F">
            <w:pPr>
              <w:rPr>
                <w:rFonts w:asciiTheme="minorHAnsi" w:hAnsiTheme="minorHAnsi" w:cs="Arial"/>
                <w:color w:val="000000"/>
                <w:sz w:val="18"/>
                <w:szCs w:val="18"/>
              </w:rPr>
            </w:pPr>
            <w:proofErr w:type="spellStart"/>
            <w:r>
              <w:rPr>
                <w:rFonts w:asciiTheme="minorHAnsi" w:hAnsiTheme="minorHAnsi" w:cs="Arial"/>
                <w:color w:val="000000"/>
                <w:sz w:val="18"/>
                <w:szCs w:val="18"/>
              </w:rPr>
              <w:t>Sungwoo</w:t>
            </w:r>
            <w:proofErr w:type="spellEnd"/>
            <w:r>
              <w:rPr>
                <w:rFonts w:asciiTheme="minorHAnsi" w:hAnsiTheme="minorHAnsi" w:cs="Arial"/>
                <w:color w:val="000000"/>
                <w:sz w:val="18"/>
                <w:szCs w:val="18"/>
              </w:rPr>
              <w:t xml:space="preserve"> Hitech s.r.o. </w:t>
            </w:r>
          </w:p>
        </w:tc>
        <w:tc>
          <w:tcPr>
            <w:tcW w:w="1985" w:type="dxa"/>
            <w:tcBorders>
              <w:top w:val="single" w:sz="4" w:space="0" w:color="auto"/>
              <w:left w:val="single" w:sz="12" w:space="0" w:color="auto"/>
              <w:bottom w:val="single" w:sz="8" w:space="0" w:color="auto"/>
              <w:right w:val="single" w:sz="8" w:space="0" w:color="auto"/>
            </w:tcBorders>
            <w:vAlign w:val="center"/>
          </w:tcPr>
          <w:p w:rsidR="00A55CE8" w:rsidRPr="009B6766" w:rsidRDefault="00031C6D" w:rsidP="0044176A">
            <w:pPr>
              <w:jc w:val="center"/>
              <w:rPr>
                <w:rFonts w:asciiTheme="minorHAnsi" w:hAnsiTheme="minorHAnsi" w:cs="Arial"/>
                <w:color w:val="808080" w:themeColor="background1" w:themeShade="80"/>
                <w:sz w:val="18"/>
                <w:szCs w:val="18"/>
              </w:rPr>
            </w:pPr>
            <w:r w:rsidRPr="009B6766">
              <w:rPr>
                <w:rFonts w:asciiTheme="minorHAnsi" w:hAnsiTheme="minorHAnsi" w:cs="Arial"/>
                <w:sz w:val="18"/>
                <w:szCs w:val="18"/>
              </w:rPr>
              <w:t>15 122,00</w:t>
            </w:r>
          </w:p>
        </w:tc>
        <w:tc>
          <w:tcPr>
            <w:tcW w:w="2122" w:type="dxa"/>
            <w:tcBorders>
              <w:top w:val="single" w:sz="4" w:space="0" w:color="auto"/>
              <w:left w:val="single" w:sz="8" w:space="0" w:color="auto"/>
              <w:bottom w:val="single" w:sz="8" w:space="0" w:color="auto"/>
              <w:right w:val="single" w:sz="8" w:space="0" w:color="auto"/>
            </w:tcBorders>
            <w:vAlign w:val="center"/>
          </w:tcPr>
          <w:p w:rsidR="00A55CE8" w:rsidRPr="00875D7E" w:rsidRDefault="00875D7E" w:rsidP="00875D7E">
            <w:pPr>
              <w:ind w:left="-208"/>
              <w:jc w:val="center"/>
              <w:rPr>
                <w:rFonts w:asciiTheme="minorHAnsi" w:hAnsiTheme="minorHAnsi" w:cs="Arial"/>
                <w:b/>
                <w:color w:val="808080" w:themeColor="background1" w:themeShade="80"/>
                <w:sz w:val="18"/>
                <w:szCs w:val="18"/>
              </w:rPr>
            </w:pPr>
            <w:r w:rsidRPr="00875D7E">
              <w:rPr>
                <w:rFonts w:asciiTheme="minorHAnsi" w:hAnsiTheme="minorHAnsi" w:cs="Arial"/>
                <w:b/>
                <w:sz w:val="18"/>
                <w:szCs w:val="18"/>
              </w:rPr>
              <w:t>15 124,00</w:t>
            </w:r>
          </w:p>
        </w:tc>
        <w:tc>
          <w:tcPr>
            <w:tcW w:w="1426" w:type="dxa"/>
            <w:tcBorders>
              <w:top w:val="single" w:sz="4" w:space="0" w:color="auto"/>
              <w:left w:val="single" w:sz="8" w:space="0" w:color="auto"/>
              <w:bottom w:val="single" w:sz="8" w:space="0" w:color="auto"/>
              <w:right w:val="single" w:sz="8" w:space="0" w:color="auto"/>
            </w:tcBorders>
            <w:vAlign w:val="center"/>
          </w:tcPr>
          <w:p w:rsidR="00A55CE8" w:rsidRPr="009B6766" w:rsidRDefault="00031C6D" w:rsidP="00277168">
            <w:pPr>
              <w:jc w:val="center"/>
              <w:rPr>
                <w:rFonts w:asciiTheme="minorHAnsi" w:hAnsiTheme="minorHAnsi" w:cs="Arial"/>
                <w:color w:val="808080" w:themeColor="background1" w:themeShade="80"/>
                <w:sz w:val="18"/>
                <w:szCs w:val="18"/>
              </w:rPr>
            </w:pPr>
            <w:r w:rsidRPr="009B6766">
              <w:rPr>
                <w:rFonts w:asciiTheme="minorHAnsi" w:hAnsiTheme="minorHAnsi" w:cs="Arial"/>
                <w:sz w:val="18"/>
                <w:szCs w:val="18"/>
              </w:rPr>
              <w:t>2079/480</w:t>
            </w:r>
          </w:p>
        </w:tc>
        <w:tc>
          <w:tcPr>
            <w:tcW w:w="1417" w:type="dxa"/>
            <w:tcBorders>
              <w:top w:val="single" w:sz="4" w:space="0" w:color="auto"/>
              <w:left w:val="single" w:sz="8" w:space="0" w:color="auto"/>
              <w:bottom w:val="single" w:sz="8" w:space="0" w:color="auto"/>
              <w:right w:val="single" w:sz="4" w:space="0" w:color="auto"/>
            </w:tcBorders>
            <w:vAlign w:val="center"/>
          </w:tcPr>
          <w:p w:rsidR="00A55CE8" w:rsidRPr="00875D7E" w:rsidRDefault="00875D7E" w:rsidP="00875D7E">
            <w:pPr>
              <w:jc w:val="center"/>
              <w:rPr>
                <w:rFonts w:asciiTheme="minorHAnsi" w:hAnsiTheme="minorHAnsi" w:cs="Arial"/>
                <w:b/>
                <w:color w:val="808080" w:themeColor="background1" w:themeShade="80"/>
                <w:sz w:val="18"/>
                <w:szCs w:val="18"/>
              </w:rPr>
            </w:pPr>
            <w:r w:rsidRPr="00875D7E">
              <w:rPr>
                <w:rFonts w:asciiTheme="minorHAnsi" w:hAnsiTheme="minorHAnsi" w:cs="Arial"/>
                <w:b/>
                <w:sz w:val="18"/>
                <w:szCs w:val="18"/>
              </w:rPr>
              <w:t>2232/583</w:t>
            </w:r>
          </w:p>
        </w:tc>
        <w:tc>
          <w:tcPr>
            <w:tcW w:w="1418" w:type="dxa"/>
            <w:tcBorders>
              <w:top w:val="single" w:sz="4" w:space="0" w:color="auto"/>
              <w:left w:val="nil"/>
              <w:bottom w:val="single" w:sz="8" w:space="0" w:color="auto"/>
              <w:right w:val="single" w:sz="8" w:space="0" w:color="auto"/>
            </w:tcBorders>
            <w:vAlign w:val="center"/>
          </w:tcPr>
          <w:p w:rsidR="00A55CE8" w:rsidRPr="009B6766" w:rsidRDefault="00875D7E" w:rsidP="00E67E72">
            <w:pPr>
              <w:jc w:val="center"/>
              <w:rPr>
                <w:rFonts w:asciiTheme="minorHAnsi" w:hAnsiTheme="minorHAnsi" w:cs="Arial"/>
                <w:color w:val="C00000"/>
                <w:sz w:val="18"/>
                <w:szCs w:val="18"/>
              </w:rPr>
            </w:pPr>
            <w:r>
              <w:rPr>
                <w:rFonts w:asciiTheme="minorHAnsi" w:hAnsiTheme="minorHAnsi" w:cs="Arial"/>
                <w:sz w:val="18"/>
                <w:szCs w:val="18"/>
              </w:rPr>
              <w:t>2252</w:t>
            </w:r>
            <w:r w:rsidRPr="009B6766">
              <w:rPr>
                <w:rFonts w:asciiTheme="minorHAnsi" w:hAnsiTheme="minorHAnsi" w:cs="Arial"/>
                <w:sz w:val="18"/>
                <w:szCs w:val="18"/>
              </w:rPr>
              <w:t>/</w:t>
            </w:r>
            <w:r>
              <w:rPr>
                <w:rFonts w:asciiTheme="minorHAnsi" w:hAnsiTheme="minorHAnsi" w:cs="Arial"/>
                <w:sz w:val="18"/>
                <w:szCs w:val="18"/>
              </w:rPr>
              <w:t>579</w:t>
            </w:r>
          </w:p>
        </w:tc>
      </w:tr>
      <w:tr w:rsidR="00A55CE8" w:rsidRPr="00DA1D3B" w:rsidTr="00A55CE8">
        <w:trPr>
          <w:trHeight w:val="315"/>
          <w:jc w:val="center"/>
        </w:trPr>
        <w:tc>
          <w:tcPr>
            <w:tcW w:w="2268" w:type="dxa"/>
            <w:tcBorders>
              <w:top w:val="single" w:sz="12" w:space="0" w:color="auto"/>
              <w:left w:val="single" w:sz="8" w:space="0" w:color="auto"/>
              <w:bottom w:val="single" w:sz="8" w:space="0" w:color="auto"/>
              <w:right w:val="single" w:sz="12" w:space="0" w:color="auto"/>
            </w:tcBorders>
            <w:shd w:val="clear" w:color="auto" w:fill="D9D9D9"/>
            <w:vAlign w:val="center"/>
            <w:hideMark/>
          </w:tcPr>
          <w:p w:rsidR="00A55CE8" w:rsidRPr="008262CC" w:rsidRDefault="00A55CE8"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CELKEM</w:t>
            </w:r>
          </w:p>
        </w:tc>
        <w:tc>
          <w:tcPr>
            <w:tcW w:w="1985" w:type="dxa"/>
            <w:tcBorders>
              <w:top w:val="single" w:sz="12" w:space="0" w:color="auto"/>
              <w:left w:val="single" w:sz="12" w:space="0" w:color="auto"/>
              <w:bottom w:val="single" w:sz="8" w:space="0" w:color="auto"/>
              <w:right w:val="single" w:sz="8" w:space="0" w:color="auto"/>
            </w:tcBorders>
            <w:shd w:val="clear" w:color="auto" w:fill="D9D9D9"/>
            <w:vAlign w:val="center"/>
          </w:tcPr>
          <w:p w:rsidR="00A55CE8" w:rsidRPr="009B6766" w:rsidRDefault="00031C6D" w:rsidP="0044176A">
            <w:pPr>
              <w:jc w:val="center"/>
              <w:rPr>
                <w:rFonts w:asciiTheme="minorHAnsi" w:hAnsiTheme="minorHAnsi" w:cs="Arial"/>
                <w:bCs/>
                <w:color w:val="808080" w:themeColor="background1" w:themeShade="80"/>
                <w:sz w:val="18"/>
                <w:szCs w:val="18"/>
              </w:rPr>
            </w:pPr>
            <w:r w:rsidRPr="009B6766">
              <w:rPr>
                <w:rFonts w:asciiTheme="minorHAnsi" w:hAnsiTheme="minorHAnsi" w:cs="Arial"/>
                <w:bCs/>
                <w:sz w:val="18"/>
                <w:szCs w:val="18"/>
              </w:rPr>
              <w:t>22 899,83</w:t>
            </w:r>
          </w:p>
        </w:tc>
        <w:tc>
          <w:tcPr>
            <w:tcW w:w="2122" w:type="dxa"/>
            <w:tcBorders>
              <w:top w:val="single" w:sz="12" w:space="0" w:color="auto"/>
              <w:left w:val="single" w:sz="8" w:space="0" w:color="auto"/>
              <w:bottom w:val="single" w:sz="8" w:space="0" w:color="auto"/>
              <w:right w:val="single" w:sz="8" w:space="0" w:color="auto"/>
            </w:tcBorders>
            <w:shd w:val="clear" w:color="auto" w:fill="D9D9D9"/>
            <w:vAlign w:val="center"/>
          </w:tcPr>
          <w:p w:rsidR="00A55CE8" w:rsidRPr="00BD246A" w:rsidRDefault="00BD246A" w:rsidP="00F26372">
            <w:pPr>
              <w:ind w:left="-208"/>
              <w:jc w:val="center"/>
              <w:rPr>
                <w:rFonts w:asciiTheme="minorHAnsi" w:hAnsiTheme="minorHAnsi" w:cs="Arial"/>
                <w:b/>
                <w:bCs/>
                <w:color w:val="808080" w:themeColor="background1" w:themeShade="80"/>
                <w:sz w:val="18"/>
                <w:szCs w:val="18"/>
              </w:rPr>
            </w:pPr>
            <w:r w:rsidRPr="00BD246A">
              <w:rPr>
                <w:rFonts w:asciiTheme="minorHAnsi" w:hAnsiTheme="minorHAnsi" w:cs="Arial"/>
                <w:b/>
                <w:bCs/>
                <w:sz w:val="18"/>
                <w:szCs w:val="18"/>
              </w:rPr>
              <w:t>22 951,83</w:t>
            </w:r>
          </w:p>
        </w:tc>
        <w:tc>
          <w:tcPr>
            <w:tcW w:w="1426" w:type="dxa"/>
            <w:tcBorders>
              <w:top w:val="single" w:sz="12" w:space="0" w:color="auto"/>
              <w:left w:val="single" w:sz="8" w:space="0" w:color="auto"/>
              <w:bottom w:val="single" w:sz="8" w:space="0" w:color="auto"/>
              <w:right w:val="single" w:sz="8" w:space="0" w:color="auto"/>
            </w:tcBorders>
            <w:shd w:val="clear" w:color="auto" w:fill="D9D9D9"/>
            <w:vAlign w:val="center"/>
          </w:tcPr>
          <w:p w:rsidR="00A55CE8" w:rsidRPr="009B6766" w:rsidRDefault="00031C6D" w:rsidP="00277168">
            <w:pPr>
              <w:jc w:val="center"/>
              <w:rPr>
                <w:rFonts w:asciiTheme="minorHAnsi" w:hAnsiTheme="minorHAnsi" w:cs="Arial"/>
                <w:bCs/>
                <w:color w:val="808080" w:themeColor="background1" w:themeShade="80"/>
                <w:sz w:val="18"/>
                <w:szCs w:val="18"/>
              </w:rPr>
            </w:pPr>
            <w:r w:rsidRPr="009B6766">
              <w:rPr>
                <w:rFonts w:asciiTheme="minorHAnsi" w:hAnsiTheme="minorHAnsi" w:cs="Arial"/>
                <w:bCs/>
                <w:sz w:val="18"/>
                <w:szCs w:val="18"/>
              </w:rPr>
              <w:t>9 625</w:t>
            </w:r>
          </w:p>
        </w:tc>
        <w:tc>
          <w:tcPr>
            <w:tcW w:w="1417" w:type="dxa"/>
            <w:tcBorders>
              <w:top w:val="single" w:sz="12" w:space="0" w:color="auto"/>
              <w:left w:val="single" w:sz="8" w:space="0" w:color="auto"/>
              <w:bottom w:val="single" w:sz="8" w:space="0" w:color="auto"/>
              <w:right w:val="single" w:sz="4" w:space="0" w:color="auto"/>
            </w:tcBorders>
            <w:shd w:val="clear" w:color="auto" w:fill="D9D9D9"/>
            <w:vAlign w:val="center"/>
          </w:tcPr>
          <w:p w:rsidR="00A55CE8" w:rsidRPr="00F659A8" w:rsidRDefault="00F659A8" w:rsidP="00F26372">
            <w:pPr>
              <w:jc w:val="center"/>
              <w:rPr>
                <w:rFonts w:asciiTheme="minorHAnsi" w:hAnsiTheme="minorHAnsi" w:cs="Arial"/>
                <w:b/>
                <w:bCs/>
                <w:color w:val="808080" w:themeColor="background1" w:themeShade="80"/>
                <w:sz w:val="18"/>
                <w:szCs w:val="18"/>
              </w:rPr>
            </w:pPr>
            <w:r w:rsidRPr="00F659A8">
              <w:rPr>
                <w:rFonts w:asciiTheme="minorHAnsi" w:hAnsiTheme="minorHAnsi" w:cs="Arial"/>
                <w:b/>
                <w:bCs/>
                <w:sz w:val="18"/>
                <w:szCs w:val="18"/>
              </w:rPr>
              <w:t>9</w:t>
            </w:r>
            <w:r>
              <w:rPr>
                <w:rFonts w:asciiTheme="minorHAnsi" w:hAnsiTheme="minorHAnsi" w:cs="Arial"/>
                <w:b/>
                <w:bCs/>
                <w:sz w:val="18"/>
                <w:szCs w:val="18"/>
              </w:rPr>
              <w:t xml:space="preserve"> </w:t>
            </w:r>
            <w:r w:rsidRPr="00F659A8">
              <w:rPr>
                <w:rFonts w:asciiTheme="minorHAnsi" w:hAnsiTheme="minorHAnsi" w:cs="Arial"/>
                <w:b/>
                <w:bCs/>
                <w:sz w:val="18"/>
                <w:szCs w:val="18"/>
              </w:rPr>
              <w:t>247</w:t>
            </w:r>
          </w:p>
        </w:tc>
        <w:tc>
          <w:tcPr>
            <w:tcW w:w="1418" w:type="dxa"/>
            <w:tcBorders>
              <w:top w:val="single" w:sz="12" w:space="0" w:color="auto"/>
              <w:left w:val="nil"/>
              <w:bottom w:val="single" w:sz="8" w:space="0" w:color="auto"/>
              <w:right w:val="single" w:sz="8" w:space="0" w:color="auto"/>
            </w:tcBorders>
            <w:shd w:val="clear" w:color="auto" w:fill="D9D9D9"/>
            <w:vAlign w:val="center"/>
          </w:tcPr>
          <w:p w:rsidR="00A55CE8" w:rsidRPr="009B6766" w:rsidRDefault="00D131A0" w:rsidP="00DE5622">
            <w:pPr>
              <w:jc w:val="center"/>
              <w:rPr>
                <w:rFonts w:asciiTheme="minorHAnsi" w:hAnsiTheme="minorHAnsi" w:cs="Arial"/>
                <w:bCs/>
                <w:color w:val="C00000"/>
                <w:sz w:val="18"/>
                <w:szCs w:val="18"/>
              </w:rPr>
            </w:pPr>
            <w:r w:rsidRPr="00DE5622">
              <w:rPr>
                <w:rFonts w:asciiTheme="minorHAnsi" w:hAnsiTheme="minorHAnsi" w:cs="Arial"/>
                <w:bCs/>
                <w:sz w:val="18"/>
                <w:szCs w:val="18"/>
              </w:rPr>
              <w:t xml:space="preserve">10 </w:t>
            </w:r>
            <w:r w:rsidR="00DE5622" w:rsidRPr="00DE5622">
              <w:rPr>
                <w:rFonts w:asciiTheme="minorHAnsi" w:hAnsiTheme="minorHAnsi" w:cs="Arial"/>
                <w:bCs/>
                <w:sz w:val="18"/>
                <w:szCs w:val="18"/>
              </w:rPr>
              <w:t>252</w:t>
            </w:r>
          </w:p>
        </w:tc>
      </w:tr>
    </w:tbl>
    <w:p w:rsidR="004C4077" w:rsidRPr="008262CC" w:rsidRDefault="004C4077" w:rsidP="004C4077">
      <w:pPr>
        <w:pStyle w:val="Zkladntext"/>
        <w:spacing w:before="60"/>
        <w:rPr>
          <w:rFonts w:asciiTheme="minorHAnsi" w:hAnsiTheme="minorHAnsi" w:cs="Arial"/>
          <w:sz w:val="16"/>
          <w:szCs w:val="16"/>
        </w:rPr>
      </w:pPr>
      <w:r w:rsidRPr="008262CC">
        <w:rPr>
          <w:rFonts w:asciiTheme="minorHAnsi" w:hAnsiTheme="minorHAnsi" w:cs="Arial"/>
          <w:sz w:val="16"/>
          <w:szCs w:val="16"/>
        </w:rPr>
        <w:t>Zdroj: jednotliví investoři</w:t>
      </w:r>
    </w:p>
    <w:p w:rsidR="00C46FA8" w:rsidRDefault="00C46FA8" w:rsidP="003619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92"/>
        </w:tabs>
        <w:jc w:val="both"/>
        <w:rPr>
          <w:rFonts w:asciiTheme="minorHAnsi" w:hAnsiTheme="minorHAnsi" w:cs="Arial"/>
          <w:sz w:val="16"/>
          <w:szCs w:val="16"/>
        </w:rPr>
      </w:pPr>
      <w:r w:rsidRPr="008262CC">
        <w:rPr>
          <w:rFonts w:asciiTheme="minorHAnsi" w:hAnsiTheme="minorHAnsi" w:cs="Arial"/>
          <w:sz w:val="16"/>
          <w:szCs w:val="16"/>
        </w:rPr>
        <w:t xml:space="preserve">* </w:t>
      </w:r>
      <w:r w:rsidRPr="008262CC">
        <w:rPr>
          <w:rFonts w:asciiTheme="minorHAnsi" w:hAnsiTheme="minorHAnsi" w:cs="Arial"/>
          <w:sz w:val="16"/>
          <w:szCs w:val="16"/>
        </w:rPr>
        <w:tab/>
      </w:r>
      <w:r>
        <w:rPr>
          <w:rFonts w:asciiTheme="minorHAnsi" w:hAnsiTheme="minorHAnsi" w:cs="Arial"/>
          <w:sz w:val="16"/>
          <w:szCs w:val="16"/>
        </w:rPr>
        <w:t xml:space="preserve">stav pracovních míst - číslo za lomítkem vyčísluje počet agenturních zaměstnanců z celkového uvedeného počtu </w:t>
      </w:r>
      <w:r w:rsidR="00361971">
        <w:rPr>
          <w:rFonts w:asciiTheme="minorHAnsi" w:hAnsiTheme="minorHAnsi" w:cs="Arial"/>
          <w:sz w:val="16"/>
          <w:szCs w:val="16"/>
        </w:rPr>
        <w:tab/>
      </w:r>
    </w:p>
    <w:p w:rsidR="00C46FA8" w:rsidRDefault="00C46FA8" w:rsidP="00C46FA8">
      <w:pPr>
        <w:jc w:val="both"/>
        <w:rPr>
          <w:rFonts w:asciiTheme="minorHAnsi" w:hAnsiTheme="minorHAnsi" w:cs="Arial"/>
          <w:sz w:val="16"/>
          <w:szCs w:val="16"/>
        </w:rPr>
      </w:pPr>
      <w:r w:rsidRPr="008262CC">
        <w:rPr>
          <w:rFonts w:asciiTheme="minorHAnsi" w:hAnsiTheme="minorHAnsi" w:cs="Arial"/>
          <w:sz w:val="16"/>
          <w:szCs w:val="16"/>
        </w:rPr>
        <w:t>*</w:t>
      </w:r>
      <w:r>
        <w:rPr>
          <w:rFonts w:asciiTheme="minorHAnsi" w:hAnsiTheme="minorHAnsi" w:cs="Arial"/>
          <w:sz w:val="16"/>
          <w:szCs w:val="16"/>
        </w:rPr>
        <w:t>*</w:t>
      </w:r>
      <w:r w:rsidRPr="008262CC">
        <w:rPr>
          <w:rFonts w:asciiTheme="minorHAnsi" w:hAnsiTheme="minorHAnsi" w:cs="Arial"/>
          <w:sz w:val="16"/>
          <w:szCs w:val="16"/>
        </w:rPr>
        <w:t xml:space="preserve"> </w:t>
      </w:r>
      <w:r w:rsidRPr="008262CC">
        <w:rPr>
          <w:rFonts w:asciiTheme="minorHAnsi" w:hAnsiTheme="minorHAnsi" w:cs="Arial"/>
          <w:sz w:val="16"/>
          <w:szCs w:val="16"/>
        </w:rPr>
        <w:tab/>
      </w:r>
      <w:r w:rsidR="00974B7F">
        <w:rPr>
          <w:rFonts w:asciiTheme="minorHAnsi" w:hAnsiTheme="minorHAnsi" w:cs="Arial"/>
          <w:sz w:val="16"/>
          <w:szCs w:val="16"/>
        </w:rPr>
        <w:t xml:space="preserve">pokles zaměstnanosti ve společnosti PEGATRON Czech, s. r. o., je způsoben poklesem </w:t>
      </w:r>
      <w:r w:rsidR="00766B9B">
        <w:rPr>
          <w:rFonts w:asciiTheme="minorHAnsi" w:hAnsiTheme="minorHAnsi" w:cs="Arial"/>
          <w:sz w:val="16"/>
          <w:szCs w:val="16"/>
        </w:rPr>
        <w:t xml:space="preserve">zakázek a sníženým zájmem o produkty </w:t>
      </w:r>
    </w:p>
    <w:p w:rsidR="004C4077" w:rsidRPr="00C46FA8" w:rsidRDefault="004C4077" w:rsidP="00207613">
      <w:pPr>
        <w:spacing w:after="120"/>
        <w:jc w:val="both"/>
        <w:rPr>
          <w:rFonts w:asciiTheme="minorHAnsi" w:hAnsiTheme="minorHAnsi" w:cs="Arial"/>
          <w:sz w:val="16"/>
          <w:szCs w:val="16"/>
        </w:rPr>
      </w:pPr>
    </w:p>
    <w:p w:rsidR="00CD0E76" w:rsidRPr="008262CC" w:rsidRDefault="00CE57FC" w:rsidP="00BE3AA9">
      <w:pPr>
        <w:pStyle w:val="Zkladntext"/>
        <w:numPr>
          <w:ilvl w:val="0"/>
          <w:numId w:val="2"/>
        </w:numPr>
        <w:spacing w:after="120"/>
        <w:ind w:left="284" w:hanging="284"/>
        <w:rPr>
          <w:rFonts w:asciiTheme="minorHAnsi" w:hAnsiTheme="minorHAnsi"/>
          <w:sz w:val="20"/>
          <w:szCs w:val="20"/>
        </w:rPr>
      </w:pPr>
      <w:r>
        <w:rPr>
          <w:rFonts w:asciiTheme="minorHAnsi" w:hAnsiTheme="minorHAnsi" w:cs="Arial"/>
          <w:sz w:val="20"/>
          <w:szCs w:val="20"/>
        </w:rPr>
        <w:t>rozloha</w:t>
      </w:r>
      <w:r w:rsidR="00882EC2" w:rsidRPr="008262CC">
        <w:rPr>
          <w:rFonts w:asciiTheme="minorHAnsi" w:hAnsiTheme="minorHAnsi" w:cs="Arial"/>
          <w:sz w:val="20"/>
          <w:szCs w:val="20"/>
        </w:rPr>
        <w:t xml:space="preserve"> 115 ha, </w:t>
      </w:r>
      <w:r w:rsidR="00222ECA">
        <w:rPr>
          <w:rFonts w:asciiTheme="minorHAnsi" w:hAnsiTheme="minorHAnsi" w:cs="Arial"/>
          <w:sz w:val="20"/>
          <w:szCs w:val="20"/>
        </w:rPr>
        <w:t>výstavba páteřní technické infrastruk</w:t>
      </w:r>
      <w:r w:rsidR="006971C4">
        <w:rPr>
          <w:rFonts w:asciiTheme="minorHAnsi" w:hAnsiTheme="minorHAnsi" w:cs="Arial"/>
          <w:sz w:val="20"/>
          <w:szCs w:val="20"/>
        </w:rPr>
        <w:t xml:space="preserve">tury, financovaná </w:t>
      </w:r>
      <w:r>
        <w:rPr>
          <w:rFonts w:asciiTheme="minorHAnsi" w:hAnsiTheme="minorHAnsi" w:cs="Arial"/>
          <w:sz w:val="20"/>
          <w:szCs w:val="20"/>
        </w:rPr>
        <w:t>z prostředků statutárního města Ostravy a z prostředků státního rozpočtu formou dotace</w:t>
      </w:r>
      <w:r w:rsidR="006971C4">
        <w:rPr>
          <w:rFonts w:asciiTheme="minorHAnsi" w:hAnsiTheme="minorHAnsi" w:cs="Arial"/>
          <w:sz w:val="20"/>
          <w:szCs w:val="20"/>
        </w:rPr>
        <w:t>, byl</w:t>
      </w:r>
      <w:r w:rsidR="00022566">
        <w:rPr>
          <w:rFonts w:asciiTheme="minorHAnsi" w:hAnsiTheme="minorHAnsi" w:cs="Arial"/>
          <w:sz w:val="20"/>
          <w:szCs w:val="20"/>
        </w:rPr>
        <w:t xml:space="preserve">a dokončena v roce 2007; </w:t>
      </w:r>
      <w:r>
        <w:rPr>
          <w:rFonts w:asciiTheme="minorHAnsi" w:hAnsiTheme="minorHAnsi" w:cs="Arial"/>
          <w:sz w:val="20"/>
          <w:szCs w:val="20"/>
        </w:rPr>
        <w:t>v závěru roku 2018 došlo k posílení kapacity vody výstavbou nové větve vodovodu v ul. Na Rovince;</w:t>
      </w:r>
    </w:p>
    <w:p w:rsidR="00080B66" w:rsidRPr="003E7BED" w:rsidRDefault="00660292" w:rsidP="00BE3AA9">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město již nevlastní žádné volné pozemky v zóně, </w:t>
      </w:r>
      <w:r w:rsidR="00F305BF" w:rsidRPr="003E7BED">
        <w:rPr>
          <w:rFonts w:asciiTheme="minorHAnsi" w:hAnsiTheme="minorHAnsi" w:cs="Arial"/>
          <w:sz w:val="20"/>
          <w:szCs w:val="20"/>
        </w:rPr>
        <w:t>majoritním vlastníkem pozemků je developerská společnost CTP</w:t>
      </w:r>
      <w:r w:rsidR="000C7A0A" w:rsidRPr="003E7BED">
        <w:rPr>
          <w:rFonts w:asciiTheme="minorHAnsi" w:hAnsiTheme="minorHAnsi" w:cs="Arial"/>
          <w:sz w:val="20"/>
          <w:szCs w:val="20"/>
        </w:rPr>
        <w:t xml:space="preserve"> (</w:t>
      </w:r>
      <w:proofErr w:type="spellStart"/>
      <w:r w:rsidR="000C7A0A" w:rsidRPr="003E7BED">
        <w:rPr>
          <w:rFonts w:asciiTheme="minorHAnsi" w:hAnsiTheme="minorHAnsi" w:cs="Arial"/>
          <w:sz w:val="20"/>
          <w:szCs w:val="20"/>
        </w:rPr>
        <w:t>CTPark</w:t>
      </w:r>
      <w:proofErr w:type="spellEnd"/>
      <w:r w:rsidR="000C7A0A" w:rsidRPr="003E7BED">
        <w:rPr>
          <w:rFonts w:asciiTheme="minorHAnsi" w:hAnsiTheme="minorHAnsi" w:cs="Arial"/>
          <w:sz w:val="20"/>
          <w:szCs w:val="20"/>
        </w:rPr>
        <w:t xml:space="preserve"> Ostrava)</w:t>
      </w:r>
      <w:r w:rsidR="00303DD2" w:rsidRPr="003E7BED">
        <w:rPr>
          <w:rFonts w:asciiTheme="minorHAnsi" w:hAnsiTheme="minorHAnsi" w:cs="Arial"/>
          <w:sz w:val="20"/>
          <w:szCs w:val="20"/>
        </w:rPr>
        <w:t xml:space="preserve">, </w:t>
      </w:r>
      <w:r w:rsidR="00F305BF" w:rsidRPr="003E7BED">
        <w:rPr>
          <w:rFonts w:asciiTheme="minorHAnsi" w:hAnsiTheme="minorHAnsi" w:cs="Arial"/>
          <w:sz w:val="20"/>
          <w:szCs w:val="20"/>
        </w:rPr>
        <w:t xml:space="preserve">která vlastní cca 79 ha pozemků, </w:t>
      </w:r>
      <w:r w:rsidR="0051331E">
        <w:rPr>
          <w:rFonts w:asciiTheme="minorHAnsi" w:hAnsiTheme="minorHAnsi" w:cs="Arial"/>
          <w:sz w:val="20"/>
          <w:szCs w:val="20"/>
        </w:rPr>
        <w:t>dále</w:t>
      </w:r>
      <w:r w:rsidR="00F305BF" w:rsidRPr="003E7BED">
        <w:rPr>
          <w:rFonts w:asciiTheme="minorHAnsi" w:hAnsiTheme="minorHAnsi" w:cs="Arial"/>
          <w:sz w:val="20"/>
          <w:szCs w:val="20"/>
        </w:rPr>
        <w:t xml:space="preserve"> </w:t>
      </w:r>
      <w:r w:rsidR="00303DD2" w:rsidRPr="003E7BED">
        <w:rPr>
          <w:rFonts w:asciiTheme="minorHAnsi" w:hAnsiTheme="minorHAnsi" w:cs="Arial"/>
          <w:sz w:val="20"/>
          <w:szCs w:val="20"/>
        </w:rPr>
        <w:t xml:space="preserve">společnosti </w:t>
      </w:r>
      <w:r w:rsidR="00882EC2" w:rsidRPr="003E7BED">
        <w:rPr>
          <w:rFonts w:asciiTheme="minorHAnsi" w:hAnsiTheme="minorHAnsi" w:cs="Arial"/>
          <w:sz w:val="20"/>
          <w:szCs w:val="20"/>
        </w:rPr>
        <w:t xml:space="preserve"> </w:t>
      </w:r>
      <w:proofErr w:type="spellStart"/>
      <w:r w:rsidR="00303DD2" w:rsidRPr="003E7BED">
        <w:rPr>
          <w:rFonts w:asciiTheme="minorHAnsi" w:hAnsiTheme="minorHAnsi" w:cs="Arial"/>
          <w:sz w:val="20"/>
          <w:szCs w:val="20"/>
        </w:rPr>
        <w:t>Sungwoo</w:t>
      </w:r>
      <w:proofErr w:type="spellEnd"/>
      <w:r w:rsidR="00303DD2" w:rsidRPr="003E7BED">
        <w:rPr>
          <w:rFonts w:asciiTheme="minorHAnsi" w:hAnsiTheme="minorHAnsi" w:cs="Arial"/>
          <w:sz w:val="20"/>
          <w:szCs w:val="20"/>
        </w:rPr>
        <w:t xml:space="preserve"> Hitech s. r. o.</w:t>
      </w:r>
      <w:r w:rsidR="00F305BF" w:rsidRPr="003E7BED">
        <w:rPr>
          <w:rFonts w:asciiTheme="minorHAnsi" w:hAnsiTheme="minorHAnsi" w:cs="Arial"/>
          <w:sz w:val="20"/>
          <w:szCs w:val="20"/>
        </w:rPr>
        <w:t xml:space="preserve"> (výrobce</w:t>
      </w:r>
      <w:r w:rsidR="00303DD2" w:rsidRPr="003E7BED">
        <w:rPr>
          <w:rFonts w:asciiTheme="minorHAnsi" w:hAnsiTheme="minorHAnsi" w:cs="Arial"/>
          <w:sz w:val="20"/>
          <w:szCs w:val="20"/>
        </w:rPr>
        <w:t xml:space="preserve"> </w:t>
      </w:r>
      <w:r w:rsidR="00F305BF" w:rsidRPr="003E7BED">
        <w:rPr>
          <w:rFonts w:asciiTheme="minorHAnsi" w:hAnsiTheme="minorHAnsi" w:cs="Arial"/>
          <w:sz w:val="20"/>
          <w:szCs w:val="20"/>
        </w:rPr>
        <w:t>vnitřních ocelových částí pro osobní automobily)</w:t>
      </w:r>
      <w:r w:rsidR="00303DD2" w:rsidRPr="003E7BED">
        <w:rPr>
          <w:rFonts w:asciiTheme="minorHAnsi" w:hAnsiTheme="minorHAnsi" w:cs="Arial"/>
          <w:sz w:val="20"/>
          <w:szCs w:val="20"/>
        </w:rPr>
        <w:t xml:space="preserve"> a PEGATRON CZECH, s. r. o. </w:t>
      </w:r>
      <w:r w:rsidR="003E7BED" w:rsidRPr="003E7BED">
        <w:rPr>
          <w:rFonts w:asciiTheme="minorHAnsi" w:hAnsiTheme="minorHAnsi" w:cs="Arial"/>
          <w:sz w:val="20"/>
          <w:szCs w:val="20"/>
        </w:rPr>
        <w:t>(výrobce počítačových komponent)</w:t>
      </w:r>
      <w:r w:rsidR="00303DD2" w:rsidRPr="003E7BED">
        <w:rPr>
          <w:rFonts w:asciiTheme="minorHAnsi" w:hAnsiTheme="minorHAnsi" w:cs="Arial"/>
          <w:sz w:val="20"/>
          <w:szCs w:val="20"/>
        </w:rPr>
        <w:t xml:space="preserve">. </w:t>
      </w:r>
      <w:r w:rsidR="00A67C2D" w:rsidRPr="00264CBD">
        <w:rPr>
          <w:rFonts w:asciiTheme="minorHAnsi" w:hAnsiTheme="minorHAnsi"/>
          <w:b/>
          <w:sz w:val="20"/>
          <w:szCs w:val="20"/>
        </w:rPr>
        <w:t>Výše investic společností umístěných v zóně čin</w:t>
      </w:r>
      <w:r w:rsidR="00264CBD">
        <w:rPr>
          <w:rFonts w:asciiTheme="minorHAnsi" w:hAnsiTheme="minorHAnsi"/>
          <w:b/>
          <w:sz w:val="20"/>
          <w:szCs w:val="20"/>
        </w:rPr>
        <w:t>ila</w:t>
      </w:r>
      <w:r w:rsidR="00A67C2D" w:rsidRPr="00264CBD">
        <w:rPr>
          <w:rFonts w:asciiTheme="minorHAnsi" w:hAnsiTheme="minorHAnsi"/>
          <w:b/>
          <w:sz w:val="20"/>
          <w:szCs w:val="20"/>
        </w:rPr>
        <w:t xml:space="preserve"> ke dni 30. 6. 2019 částku téměř 23 mld. Kč a </w:t>
      </w:r>
      <w:r w:rsidR="00974B7F" w:rsidRPr="00264CBD">
        <w:rPr>
          <w:rFonts w:asciiTheme="minorHAnsi" w:hAnsiTheme="minorHAnsi"/>
          <w:b/>
          <w:sz w:val="20"/>
          <w:szCs w:val="20"/>
        </w:rPr>
        <w:t>ke stejnému datu bylo vytvořeno 9 247 pracovních míst</w:t>
      </w:r>
      <w:r w:rsidR="003E7BED">
        <w:rPr>
          <w:rFonts w:asciiTheme="minorHAnsi" w:hAnsiTheme="minorHAnsi"/>
          <w:sz w:val="20"/>
          <w:szCs w:val="20"/>
        </w:rPr>
        <w:t>;</w:t>
      </w:r>
      <w:r w:rsidR="00974B7F">
        <w:rPr>
          <w:rFonts w:asciiTheme="minorHAnsi" w:hAnsiTheme="minorHAnsi"/>
          <w:sz w:val="20"/>
          <w:szCs w:val="20"/>
        </w:rPr>
        <w:t xml:space="preserve"> </w:t>
      </w:r>
    </w:p>
    <w:p w:rsidR="00651197" w:rsidRDefault="00651197" w:rsidP="00BE3AA9">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ke sledovanému datu byla obsazenost stávajících průmyslových budov </w:t>
      </w:r>
      <w:proofErr w:type="gramStart"/>
      <w:r>
        <w:rPr>
          <w:rFonts w:asciiTheme="minorHAnsi" w:hAnsiTheme="minorHAnsi" w:cs="Arial"/>
          <w:sz w:val="20"/>
          <w:szCs w:val="20"/>
        </w:rPr>
        <w:t>100%</w:t>
      </w:r>
      <w:proofErr w:type="gramEnd"/>
      <w:r>
        <w:rPr>
          <w:rFonts w:asciiTheme="minorHAnsi" w:hAnsiTheme="minorHAnsi" w:cs="Arial"/>
          <w:sz w:val="20"/>
          <w:szCs w:val="20"/>
        </w:rPr>
        <w:t>-ní</w:t>
      </w:r>
      <w:r w:rsidR="00E106E0">
        <w:rPr>
          <w:rFonts w:asciiTheme="minorHAnsi" w:hAnsiTheme="minorHAnsi" w:cs="Arial"/>
          <w:sz w:val="20"/>
          <w:szCs w:val="20"/>
        </w:rPr>
        <w:t>;</w:t>
      </w:r>
      <w:r w:rsidR="0039031E">
        <w:rPr>
          <w:rFonts w:asciiTheme="minorHAnsi" w:hAnsiTheme="minorHAnsi" w:cs="Arial"/>
          <w:sz w:val="20"/>
          <w:szCs w:val="20"/>
        </w:rPr>
        <w:t xml:space="preserve"> </w:t>
      </w:r>
      <w:r>
        <w:rPr>
          <w:rFonts w:asciiTheme="minorHAnsi" w:hAnsiTheme="minorHAnsi" w:cs="Arial"/>
          <w:sz w:val="20"/>
          <w:szCs w:val="20"/>
        </w:rPr>
        <w:t xml:space="preserve">nově postavená hala O11 je zcela zaplněná, hala O26 předána nájemci a hala O16 - část </w:t>
      </w:r>
      <w:proofErr w:type="spellStart"/>
      <w:r>
        <w:rPr>
          <w:rFonts w:asciiTheme="minorHAnsi" w:hAnsiTheme="minorHAnsi" w:cs="Arial"/>
          <w:sz w:val="20"/>
          <w:szCs w:val="20"/>
        </w:rPr>
        <w:t>Dachser</w:t>
      </w:r>
      <w:proofErr w:type="spellEnd"/>
      <w:r>
        <w:rPr>
          <w:rFonts w:asciiTheme="minorHAnsi" w:hAnsiTheme="minorHAnsi" w:cs="Arial"/>
          <w:sz w:val="20"/>
          <w:szCs w:val="20"/>
        </w:rPr>
        <w:t xml:space="preserve"> připravena ke kolaudaci. </w:t>
      </w:r>
      <w:r w:rsidR="00E106E0">
        <w:rPr>
          <w:rFonts w:asciiTheme="minorHAnsi" w:hAnsiTheme="minorHAnsi" w:cs="Arial"/>
          <w:sz w:val="20"/>
          <w:szCs w:val="20"/>
        </w:rPr>
        <w:br/>
      </w:r>
      <w:r>
        <w:rPr>
          <w:rFonts w:asciiTheme="minorHAnsi" w:hAnsiTheme="minorHAnsi" w:cs="Arial"/>
          <w:sz w:val="20"/>
          <w:szCs w:val="20"/>
        </w:rPr>
        <w:t>Nově došlo k uzavření smluv s budoucími nájemci pro haly O23 (25 000 m</w:t>
      </w:r>
      <w:r>
        <w:rPr>
          <w:rFonts w:asciiTheme="minorHAnsi" w:hAnsiTheme="minorHAnsi" w:cs="Arial"/>
          <w:sz w:val="20"/>
          <w:szCs w:val="20"/>
          <w:vertAlign w:val="superscript"/>
        </w:rPr>
        <w:t>2</w:t>
      </w:r>
      <w:r>
        <w:rPr>
          <w:rFonts w:asciiTheme="minorHAnsi" w:hAnsiTheme="minorHAnsi" w:cs="Arial"/>
          <w:sz w:val="20"/>
          <w:szCs w:val="20"/>
        </w:rPr>
        <w:t xml:space="preserve"> a 23 000 m</w:t>
      </w:r>
      <w:r>
        <w:rPr>
          <w:rFonts w:asciiTheme="minorHAnsi" w:hAnsiTheme="minorHAnsi" w:cs="Arial"/>
          <w:sz w:val="20"/>
          <w:szCs w:val="20"/>
          <w:vertAlign w:val="superscript"/>
        </w:rPr>
        <w:t>2</w:t>
      </w:r>
      <w:r>
        <w:rPr>
          <w:rFonts w:asciiTheme="minorHAnsi" w:hAnsiTheme="minorHAnsi" w:cs="Arial"/>
          <w:sz w:val="20"/>
          <w:szCs w:val="20"/>
        </w:rPr>
        <w:t>) a O8 (10 000 m</w:t>
      </w:r>
      <w:r>
        <w:rPr>
          <w:rFonts w:asciiTheme="minorHAnsi" w:hAnsiTheme="minorHAnsi" w:cs="Arial"/>
          <w:sz w:val="20"/>
          <w:szCs w:val="20"/>
          <w:vertAlign w:val="superscript"/>
        </w:rPr>
        <w:t>2</w:t>
      </w:r>
      <w:r>
        <w:rPr>
          <w:rFonts w:asciiTheme="minorHAnsi" w:hAnsiTheme="minorHAnsi" w:cs="Arial"/>
          <w:sz w:val="20"/>
          <w:szCs w:val="20"/>
        </w:rPr>
        <w:t xml:space="preserve">), vše výroba pro </w:t>
      </w:r>
      <w:proofErr w:type="spellStart"/>
      <w:r>
        <w:rPr>
          <w:rFonts w:asciiTheme="minorHAnsi" w:hAnsiTheme="minorHAnsi" w:cs="Arial"/>
          <w:sz w:val="20"/>
          <w:szCs w:val="20"/>
        </w:rPr>
        <w:t>automotive</w:t>
      </w:r>
      <w:proofErr w:type="spellEnd"/>
      <w:r>
        <w:rPr>
          <w:rFonts w:asciiTheme="minorHAnsi" w:hAnsiTheme="minorHAnsi" w:cs="Arial"/>
          <w:sz w:val="20"/>
          <w:szCs w:val="20"/>
        </w:rPr>
        <w:t xml:space="preserve"> průmysl (montáž motorů, lisování plechů za tepla, montáž brzdových systémů). </w:t>
      </w:r>
      <w:r w:rsidR="007804C0">
        <w:rPr>
          <w:rFonts w:asciiTheme="minorHAnsi" w:hAnsiTheme="minorHAnsi" w:cs="Arial"/>
          <w:sz w:val="20"/>
          <w:szCs w:val="20"/>
        </w:rPr>
        <w:t xml:space="preserve">Většina haly O20 bude pronajata španělským výrobcem komponentů pro výtahy. </w:t>
      </w:r>
    </w:p>
    <w:p w:rsidR="007804C0" w:rsidRDefault="007804C0" w:rsidP="00BE3AA9">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výstavba výše uvedených objektů již byla zahájena, dokončení haly O20 se předpokládá na podzim r. 2019, haly O8 v lednu 2020 a haly O23 ve druhém čtvrtletí r. 2020. Mimo extenzi haly O26 již není v </w:t>
      </w:r>
      <w:proofErr w:type="spellStart"/>
      <w:r>
        <w:rPr>
          <w:rFonts w:asciiTheme="minorHAnsi" w:hAnsiTheme="minorHAnsi" w:cs="Arial"/>
          <w:sz w:val="20"/>
          <w:szCs w:val="20"/>
        </w:rPr>
        <w:t>CTParku</w:t>
      </w:r>
      <w:proofErr w:type="spellEnd"/>
      <w:r>
        <w:rPr>
          <w:rFonts w:asciiTheme="minorHAnsi" w:hAnsiTheme="minorHAnsi" w:cs="Arial"/>
          <w:sz w:val="20"/>
          <w:szCs w:val="20"/>
        </w:rPr>
        <w:t xml:space="preserve"> Ostrava možná výstavba, kapacita parku je naplněna. </w:t>
      </w:r>
    </w:p>
    <w:p w:rsidR="00345E13" w:rsidRDefault="00345E13" w:rsidP="00345E13">
      <w:pPr>
        <w:pStyle w:val="Zkladntext"/>
        <w:spacing w:after="120"/>
        <w:rPr>
          <w:rFonts w:asciiTheme="minorHAnsi" w:hAnsiTheme="minorHAnsi" w:cs="Arial"/>
          <w:sz w:val="20"/>
          <w:szCs w:val="20"/>
        </w:rPr>
      </w:pPr>
    </w:p>
    <w:p w:rsidR="00651197" w:rsidRPr="00651197" w:rsidRDefault="00651197" w:rsidP="007804C0">
      <w:pPr>
        <w:pStyle w:val="Zkladntext"/>
        <w:spacing w:after="120"/>
        <w:ind w:left="284"/>
        <w:jc w:val="left"/>
        <w:rPr>
          <w:rFonts w:asciiTheme="minorHAnsi" w:hAnsiTheme="minorHAnsi" w:cs="Arial"/>
          <w:sz w:val="20"/>
          <w:szCs w:val="20"/>
        </w:rPr>
      </w:pPr>
      <w:r>
        <w:rPr>
          <w:rFonts w:asciiTheme="minorHAnsi" w:hAnsiTheme="minorHAnsi" w:cs="Arial"/>
          <w:sz w:val="20"/>
          <w:szCs w:val="20"/>
          <w:vertAlign w:val="superscript"/>
        </w:rPr>
        <w:t xml:space="preserve"> </w:t>
      </w:r>
    </w:p>
    <w:p w:rsidR="00A305C6" w:rsidRPr="008262CC" w:rsidRDefault="00A305C6" w:rsidP="008A42ED">
      <w:pPr>
        <w:pStyle w:val="Zkladntext"/>
        <w:numPr>
          <w:ilvl w:val="0"/>
          <w:numId w:val="1"/>
        </w:numPr>
        <w:spacing w:after="120"/>
        <w:ind w:left="641" w:hanging="357"/>
        <w:jc w:val="left"/>
        <w:rPr>
          <w:rFonts w:asciiTheme="minorHAnsi" w:hAnsiTheme="minorHAnsi" w:cs="Arial"/>
          <w:b/>
          <w:sz w:val="22"/>
          <w:szCs w:val="22"/>
        </w:rPr>
      </w:pPr>
      <w:r w:rsidRPr="008262CC">
        <w:rPr>
          <w:rFonts w:asciiTheme="minorHAnsi" w:hAnsiTheme="minorHAnsi" w:cs="Arial"/>
          <w:b/>
          <w:sz w:val="22"/>
          <w:szCs w:val="22"/>
        </w:rPr>
        <w:lastRenderedPageBreak/>
        <w:t>Strategick</w:t>
      </w:r>
      <w:r w:rsidR="002D4A15" w:rsidRPr="008262CC">
        <w:rPr>
          <w:rFonts w:asciiTheme="minorHAnsi" w:hAnsiTheme="minorHAnsi" w:cs="Arial"/>
          <w:b/>
          <w:sz w:val="22"/>
          <w:szCs w:val="22"/>
        </w:rPr>
        <w:t>á</w:t>
      </w:r>
      <w:r w:rsidRPr="008262CC">
        <w:rPr>
          <w:rFonts w:asciiTheme="minorHAnsi" w:hAnsiTheme="minorHAnsi" w:cs="Arial"/>
          <w:b/>
          <w:sz w:val="22"/>
          <w:szCs w:val="22"/>
        </w:rPr>
        <w:t xml:space="preserve"> průmyslov</w:t>
      </w:r>
      <w:r w:rsidR="002D4A15" w:rsidRPr="008262CC">
        <w:rPr>
          <w:rFonts w:asciiTheme="minorHAnsi" w:hAnsiTheme="minorHAnsi" w:cs="Arial"/>
          <w:b/>
          <w:sz w:val="22"/>
          <w:szCs w:val="22"/>
        </w:rPr>
        <w:t>á</w:t>
      </w:r>
      <w:r w:rsidRPr="008262CC">
        <w:rPr>
          <w:rFonts w:asciiTheme="minorHAnsi" w:hAnsiTheme="minorHAnsi" w:cs="Arial"/>
          <w:b/>
          <w:sz w:val="22"/>
          <w:szCs w:val="22"/>
        </w:rPr>
        <w:t xml:space="preserve"> zón</w:t>
      </w:r>
      <w:r w:rsidR="002D4A15" w:rsidRPr="008262CC">
        <w:rPr>
          <w:rFonts w:asciiTheme="minorHAnsi" w:hAnsiTheme="minorHAnsi" w:cs="Arial"/>
          <w:b/>
          <w:sz w:val="22"/>
          <w:szCs w:val="22"/>
        </w:rPr>
        <w:t>a</w:t>
      </w:r>
      <w:r w:rsidRPr="008262CC">
        <w:rPr>
          <w:rFonts w:asciiTheme="minorHAnsi" w:hAnsiTheme="minorHAnsi" w:cs="Arial"/>
          <w:b/>
          <w:sz w:val="22"/>
          <w:szCs w:val="22"/>
        </w:rPr>
        <w:t xml:space="preserve"> Ostrava-Mošnov </w:t>
      </w:r>
    </w:p>
    <w:tbl>
      <w:tblPr>
        <w:tblW w:w="10636" w:type="dxa"/>
        <w:jc w:val="center"/>
        <w:tblCellMar>
          <w:left w:w="70" w:type="dxa"/>
          <w:right w:w="70" w:type="dxa"/>
        </w:tblCellMar>
        <w:tblLook w:val="04A0" w:firstRow="1" w:lastRow="0" w:firstColumn="1" w:lastColumn="0" w:noHBand="0" w:noVBand="1"/>
      </w:tblPr>
      <w:tblGrid>
        <w:gridCol w:w="2268"/>
        <w:gridCol w:w="1985"/>
        <w:gridCol w:w="2122"/>
        <w:gridCol w:w="1426"/>
        <w:gridCol w:w="1417"/>
        <w:gridCol w:w="1418"/>
      </w:tblGrid>
      <w:tr w:rsidR="00BA6E97" w:rsidRPr="008262CC" w:rsidTr="00BA6E97">
        <w:trPr>
          <w:trHeight w:val="746"/>
          <w:jc w:val="center"/>
        </w:trPr>
        <w:tc>
          <w:tcPr>
            <w:tcW w:w="2268" w:type="dxa"/>
            <w:tcBorders>
              <w:top w:val="single" w:sz="8" w:space="0" w:color="auto"/>
              <w:left w:val="single" w:sz="8" w:space="0" w:color="auto"/>
              <w:bottom w:val="single" w:sz="12" w:space="0" w:color="auto"/>
              <w:right w:val="single" w:sz="12" w:space="0" w:color="auto"/>
            </w:tcBorders>
            <w:shd w:val="clear" w:color="auto" w:fill="D9D9D9"/>
            <w:vAlign w:val="center"/>
            <w:hideMark/>
          </w:tcPr>
          <w:p w:rsidR="00BA6E97" w:rsidRPr="008262CC" w:rsidRDefault="00BA6E97"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Název </w:t>
            </w:r>
          </w:p>
        </w:tc>
        <w:tc>
          <w:tcPr>
            <w:tcW w:w="1985" w:type="dxa"/>
            <w:tcBorders>
              <w:top w:val="single" w:sz="8" w:space="0" w:color="auto"/>
              <w:left w:val="single" w:sz="12" w:space="0" w:color="auto"/>
              <w:bottom w:val="single" w:sz="12" w:space="0" w:color="auto"/>
              <w:right w:val="single" w:sz="8" w:space="0" w:color="auto"/>
            </w:tcBorders>
            <w:shd w:val="clear" w:color="auto" w:fill="D9D9D9"/>
            <w:vAlign w:val="center"/>
          </w:tcPr>
          <w:p w:rsidR="00BA6E97" w:rsidRDefault="00BA6E97" w:rsidP="00766B9B">
            <w:pPr>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w:t>
            </w:r>
            <w:proofErr w:type="gramStart"/>
            <w:r>
              <w:rPr>
                <w:rFonts w:asciiTheme="minorHAnsi" w:hAnsiTheme="minorHAnsi" w:cs="Arial"/>
                <w:b/>
                <w:bCs/>
                <w:color w:val="000000"/>
                <w:sz w:val="18"/>
                <w:szCs w:val="18"/>
              </w:rPr>
              <w:t>investice  ze</w:t>
            </w:r>
            <w:proofErr w:type="gramEnd"/>
            <w:r>
              <w:rPr>
                <w:rFonts w:asciiTheme="minorHAnsi" w:hAnsiTheme="minorHAnsi" w:cs="Arial"/>
                <w:b/>
                <w:bCs/>
                <w:color w:val="000000"/>
                <w:sz w:val="18"/>
                <w:szCs w:val="18"/>
              </w:rPr>
              <w:t xml:space="preserve"> strany investora </w:t>
            </w:r>
            <w:r w:rsidRPr="008262CC">
              <w:rPr>
                <w:rFonts w:asciiTheme="minorHAnsi" w:hAnsiTheme="minorHAnsi" w:cs="Arial"/>
                <w:b/>
                <w:bCs/>
                <w:color w:val="000000"/>
                <w:sz w:val="18"/>
                <w:szCs w:val="18"/>
              </w:rPr>
              <w:t xml:space="preserve">k </w:t>
            </w:r>
            <w:r w:rsidR="006876FF">
              <w:rPr>
                <w:rFonts w:asciiTheme="minorHAnsi" w:hAnsiTheme="minorHAnsi" w:cs="Arial"/>
                <w:b/>
                <w:bCs/>
                <w:color w:val="000000"/>
                <w:sz w:val="18"/>
                <w:szCs w:val="18"/>
              </w:rPr>
              <w:t>31</w:t>
            </w:r>
            <w:r w:rsidR="006876FF" w:rsidRPr="008262CC">
              <w:rPr>
                <w:rFonts w:asciiTheme="minorHAnsi" w:hAnsiTheme="minorHAnsi" w:cs="Arial"/>
                <w:b/>
                <w:bCs/>
                <w:color w:val="000000"/>
                <w:sz w:val="18"/>
                <w:szCs w:val="18"/>
              </w:rPr>
              <w:t>.</w:t>
            </w:r>
            <w:r w:rsidR="006876FF">
              <w:rPr>
                <w:rFonts w:asciiTheme="minorHAnsi" w:hAnsiTheme="minorHAnsi" w:cs="Arial"/>
                <w:b/>
                <w:bCs/>
                <w:color w:val="000000"/>
                <w:sz w:val="18"/>
                <w:szCs w:val="18"/>
              </w:rPr>
              <w:t>12</w:t>
            </w:r>
            <w:r w:rsidR="006876FF" w:rsidRPr="008262CC">
              <w:rPr>
                <w:rFonts w:asciiTheme="minorHAnsi" w:hAnsiTheme="minorHAnsi" w:cs="Arial"/>
                <w:b/>
                <w:bCs/>
                <w:color w:val="000000"/>
                <w:sz w:val="18"/>
                <w:szCs w:val="18"/>
              </w:rPr>
              <w:t>.201</w:t>
            </w:r>
            <w:r w:rsidR="006876FF">
              <w:rPr>
                <w:rFonts w:asciiTheme="minorHAnsi" w:hAnsiTheme="minorHAnsi" w:cs="Arial"/>
                <w:b/>
                <w:bCs/>
                <w:color w:val="000000"/>
                <w:sz w:val="18"/>
                <w:szCs w:val="18"/>
              </w:rPr>
              <w:t>8</w:t>
            </w:r>
          </w:p>
          <w:p w:rsidR="00BA6E97" w:rsidRPr="008262CC" w:rsidRDefault="00BA6E97"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2122" w:type="dxa"/>
            <w:tcBorders>
              <w:top w:val="single" w:sz="8" w:space="0" w:color="auto"/>
              <w:left w:val="single" w:sz="8" w:space="0" w:color="auto"/>
              <w:bottom w:val="single" w:sz="12" w:space="0" w:color="auto"/>
              <w:right w:val="single" w:sz="8" w:space="0" w:color="auto"/>
            </w:tcBorders>
            <w:shd w:val="clear" w:color="auto" w:fill="D9D9D9"/>
            <w:vAlign w:val="center"/>
          </w:tcPr>
          <w:p w:rsidR="00BA6E97" w:rsidRDefault="00BA6E97" w:rsidP="00766B9B">
            <w:pPr>
              <w:ind w:left="-208"/>
              <w:jc w:val="center"/>
              <w:rPr>
                <w:rFonts w:asciiTheme="minorHAnsi" w:hAnsiTheme="minorHAnsi" w:cs="Arial"/>
                <w:b/>
                <w:bCs/>
                <w:color w:val="000000"/>
                <w:sz w:val="18"/>
                <w:szCs w:val="18"/>
              </w:rPr>
            </w:pPr>
            <w:r>
              <w:rPr>
                <w:rFonts w:asciiTheme="minorHAnsi" w:hAnsiTheme="minorHAnsi" w:cs="Arial"/>
                <w:b/>
                <w:bCs/>
                <w:color w:val="000000"/>
                <w:sz w:val="18"/>
                <w:szCs w:val="18"/>
              </w:rPr>
              <w:t xml:space="preserve">Výše </w:t>
            </w:r>
            <w:proofErr w:type="gramStart"/>
            <w:r>
              <w:rPr>
                <w:rFonts w:asciiTheme="minorHAnsi" w:hAnsiTheme="minorHAnsi" w:cs="Arial"/>
                <w:b/>
                <w:bCs/>
                <w:color w:val="000000"/>
                <w:sz w:val="18"/>
                <w:szCs w:val="18"/>
              </w:rPr>
              <w:t>investice  ze</w:t>
            </w:r>
            <w:proofErr w:type="gramEnd"/>
            <w:r>
              <w:rPr>
                <w:rFonts w:asciiTheme="minorHAnsi" w:hAnsiTheme="minorHAnsi" w:cs="Arial"/>
                <w:b/>
                <w:bCs/>
                <w:color w:val="000000"/>
                <w:sz w:val="18"/>
                <w:szCs w:val="18"/>
              </w:rPr>
              <w:t xml:space="preserve"> strany investora </w:t>
            </w:r>
            <w:r w:rsidRPr="008262CC">
              <w:rPr>
                <w:rFonts w:asciiTheme="minorHAnsi" w:hAnsiTheme="minorHAnsi" w:cs="Arial"/>
                <w:b/>
                <w:bCs/>
                <w:color w:val="000000"/>
                <w:sz w:val="18"/>
                <w:szCs w:val="18"/>
              </w:rPr>
              <w:t xml:space="preserve">k </w:t>
            </w:r>
            <w:r>
              <w:rPr>
                <w:rFonts w:asciiTheme="minorHAnsi" w:hAnsiTheme="minorHAnsi" w:cs="Arial"/>
                <w:b/>
                <w:bCs/>
                <w:color w:val="000000"/>
                <w:sz w:val="18"/>
                <w:szCs w:val="18"/>
              </w:rPr>
              <w:t>3</w:t>
            </w:r>
            <w:r w:rsidR="006876FF">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6876FF">
              <w:rPr>
                <w:rFonts w:asciiTheme="minorHAnsi" w:hAnsiTheme="minorHAnsi" w:cs="Arial"/>
                <w:b/>
                <w:bCs/>
                <w:color w:val="000000"/>
                <w:sz w:val="18"/>
                <w:szCs w:val="18"/>
              </w:rPr>
              <w:t>06</w:t>
            </w:r>
            <w:r w:rsidRPr="008262CC">
              <w:rPr>
                <w:rFonts w:asciiTheme="minorHAnsi" w:hAnsiTheme="minorHAnsi" w:cs="Arial"/>
                <w:b/>
                <w:bCs/>
                <w:color w:val="000000"/>
                <w:sz w:val="18"/>
                <w:szCs w:val="18"/>
              </w:rPr>
              <w:t>.201</w:t>
            </w:r>
            <w:r w:rsidR="006876FF">
              <w:rPr>
                <w:rFonts w:asciiTheme="minorHAnsi" w:hAnsiTheme="minorHAnsi" w:cs="Arial"/>
                <w:b/>
                <w:bCs/>
                <w:color w:val="000000"/>
                <w:sz w:val="18"/>
                <w:szCs w:val="18"/>
              </w:rPr>
              <w:t>9</w:t>
            </w:r>
          </w:p>
          <w:p w:rsidR="00BA6E97" w:rsidRPr="008262CC" w:rsidRDefault="00BA6E97" w:rsidP="00766B9B">
            <w:pPr>
              <w:ind w:left="-208"/>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(v mil. Kč)</w:t>
            </w:r>
          </w:p>
        </w:tc>
        <w:tc>
          <w:tcPr>
            <w:tcW w:w="1426" w:type="dxa"/>
            <w:tcBorders>
              <w:top w:val="single" w:sz="8" w:space="0" w:color="auto"/>
              <w:left w:val="single" w:sz="8" w:space="0" w:color="auto"/>
              <w:bottom w:val="single" w:sz="12" w:space="0" w:color="auto"/>
              <w:right w:val="single" w:sz="8" w:space="0" w:color="auto"/>
            </w:tcBorders>
            <w:shd w:val="clear" w:color="auto" w:fill="D9D9D9"/>
            <w:vAlign w:val="center"/>
          </w:tcPr>
          <w:p w:rsidR="00BA6E97" w:rsidRPr="008262CC" w:rsidRDefault="00BA6E97" w:rsidP="00A47E94">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sidR="006876FF">
              <w:rPr>
                <w:rFonts w:asciiTheme="minorHAnsi" w:hAnsiTheme="minorHAnsi" w:cs="Arial"/>
                <w:b/>
                <w:bCs/>
                <w:color w:val="000000"/>
                <w:sz w:val="18"/>
                <w:szCs w:val="18"/>
              </w:rPr>
              <w:t>31</w:t>
            </w:r>
            <w:r w:rsidR="006876FF" w:rsidRPr="008262CC">
              <w:rPr>
                <w:rFonts w:asciiTheme="minorHAnsi" w:hAnsiTheme="minorHAnsi" w:cs="Arial"/>
                <w:b/>
                <w:bCs/>
                <w:color w:val="000000"/>
                <w:sz w:val="18"/>
                <w:szCs w:val="18"/>
              </w:rPr>
              <w:t>.</w:t>
            </w:r>
            <w:r w:rsidR="006876FF">
              <w:rPr>
                <w:rFonts w:asciiTheme="minorHAnsi" w:hAnsiTheme="minorHAnsi" w:cs="Arial"/>
                <w:b/>
                <w:bCs/>
                <w:color w:val="000000"/>
                <w:sz w:val="18"/>
                <w:szCs w:val="18"/>
              </w:rPr>
              <w:t>12</w:t>
            </w:r>
            <w:r w:rsidR="006876FF" w:rsidRPr="008262CC">
              <w:rPr>
                <w:rFonts w:asciiTheme="minorHAnsi" w:hAnsiTheme="minorHAnsi" w:cs="Arial"/>
                <w:b/>
                <w:bCs/>
                <w:color w:val="000000"/>
                <w:sz w:val="18"/>
                <w:szCs w:val="18"/>
              </w:rPr>
              <w:t>.201</w:t>
            </w:r>
            <w:r w:rsidR="006876FF">
              <w:rPr>
                <w:rFonts w:asciiTheme="minorHAnsi" w:hAnsiTheme="minorHAnsi" w:cs="Arial"/>
                <w:b/>
                <w:bCs/>
                <w:color w:val="000000"/>
                <w:sz w:val="18"/>
                <w:szCs w:val="18"/>
              </w:rPr>
              <w:t>8</w:t>
            </w:r>
          </w:p>
        </w:tc>
        <w:tc>
          <w:tcPr>
            <w:tcW w:w="1417" w:type="dxa"/>
            <w:tcBorders>
              <w:top w:val="single" w:sz="8" w:space="0" w:color="auto"/>
              <w:left w:val="single" w:sz="8" w:space="0" w:color="auto"/>
              <w:bottom w:val="single" w:sz="12" w:space="0" w:color="auto"/>
              <w:right w:val="single" w:sz="4" w:space="0" w:color="auto"/>
            </w:tcBorders>
            <w:shd w:val="clear" w:color="auto" w:fill="D9D9D9"/>
            <w:vAlign w:val="center"/>
            <w:hideMark/>
          </w:tcPr>
          <w:p w:rsidR="00BA6E97" w:rsidRPr="008262CC" w:rsidRDefault="00BA6E97" w:rsidP="006876FF">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Stav pracovních míst k </w:t>
            </w:r>
            <w:r>
              <w:rPr>
                <w:rFonts w:asciiTheme="minorHAnsi" w:hAnsiTheme="minorHAnsi" w:cs="Arial"/>
                <w:b/>
                <w:bCs/>
                <w:color w:val="000000"/>
                <w:sz w:val="18"/>
                <w:szCs w:val="18"/>
              </w:rPr>
              <w:t>3</w:t>
            </w:r>
            <w:r w:rsidR="006876FF">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6876FF">
              <w:rPr>
                <w:rFonts w:asciiTheme="minorHAnsi" w:hAnsiTheme="minorHAnsi" w:cs="Arial"/>
                <w:b/>
                <w:bCs/>
                <w:color w:val="000000"/>
                <w:sz w:val="18"/>
                <w:szCs w:val="18"/>
              </w:rPr>
              <w:t>06</w:t>
            </w:r>
            <w:r w:rsidRPr="008262CC">
              <w:rPr>
                <w:rFonts w:asciiTheme="minorHAnsi" w:hAnsiTheme="minorHAnsi" w:cs="Arial"/>
                <w:b/>
                <w:bCs/>
                <w:color w:val="000000"/>
                <w:sz w:val="18"/>
                <w:szCs w:val="18"/>
              </w:rPr>
              <w:t>.20</w:t>
            </w:r>
            <w:r w:rsidR="006876FF">
              <w:rPr>
                <w:rFonts w:asciiTheme="minorHAnsi" w:hAnsiTheme="minorHAnsi" w:cs="Arial"/>
                <w:b/>
                <w:bCs/>
                <w:color w:val="000000"/>
                <w:sz w:val="18"/>
                <w:szCs w:val="18"/>
              </w:rPr>
              <w:t>19</w:t>
            </w:r>
          </w:p>
        </w:tc>
        <w:tc>
          <w:tcPr>
            <w:tcW w:w="1418" w:type="dxa"/>
            <w:tcBorders>
              <w:top w:val="single" w:sz="8" w:space="0" w:color="auto"/>
              <w:left w:val="nil"/>
              <w:bottom w:val="single" w:sz="12" w:space="0" w:color="auto"/>
              <w:right w:val="single" w:sz="8" w:space="0" w:color="auto"/>
            </w:tcBorders>
            <w:shd w:val="clear" w:color="auto" w:fill="D9D9D9"/>
            <w:vAlign w:val="center"/>
            <w:hideMark/>
          </w:tcPr>
          <w:p w:rsidR="00BA6E97" w:rsidRPr="008262CC" w:rsidRDefault="00BA6E97" w:rsidP="006876FF">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 xml:space="preserve">Předpokládaný stav pracovních míst </w:t>
            </w:r>
            <w:r w:rsidRPr="008262CC">
              <w:rPr>
                <w:rFonts w:asciiTheme="minorHAnsi" w:hAnsiTheme="minorHAnsi" w:cs="Arial"/>
                <w:b/>
                <w:bCs/>
                <w:color w:val="000000"/>
                <w:sz w:val="18"/>
                <w:szCs w:val="18"/>
              </w:rPr>
              <w:br/>
              <w:t>k </w:t>
            </w:r>
            <w:r>
              <w:rPr>
                <w:rFonts w:asciiTheme="minorHAnsi" w:hAnsiTheme="minorHAnsi" w:cs="Arial"/>
                <w:b/>
                <w:bCs/>
                <w:color w:val="000000"/>
                <w:sz w:val="18"/>
                <w:szCs w:val="18"/>
              </w:rPr>
              <w:t>3</w:t>
            </w:r>
            <w:r w:rsidR="006876FF">
              <w:rPr>
                <w:rFonts w:asciiTheme="minorHAnsi" w:hAnsiTheme="minorHAnsi" w:cs="Arial"/>
                <w:b/>
                <w:bCs/>
                <w:color w:val="000000"/>
                <w:sz w:val="18"/>
                <w:szCs w:val="18"/>
              </w:rPr>
              <w:t>0</w:t>
            </w:r>
            <w:r w:rsidRPr="008262CC">
              <w:rPr>
                <w:rFonts w:asciiTheme="minorHAnsi" w:hAnsiTheme="minorHAnsi" w:cs="Arial"/>
                <w:b/>
                <w:bCs/>
                <w:color w:val="000000"/>
                <w:sz w:val="18"/>
                <w:szCs w:val="18"/>
              </w:rPr>
              <w:t>.</w:t>
            </w:r>
            <w:r w:rsidR="006876FF">
              <w:rPr>
                <w:rFonts w:asciiTheme="minorHAnsi" w:hAnsiTheme="minorHAnsi" w:cs="Arial"/>
                <w:b/>
                <w:bCs/>
                <w:color w:val="000000"/>
                <w:sz w:val="18"/>
                <w:szCs w:val="18"/>
              </w:rPr>
              <w:t>06</w:t>
            </w:r>
            <w:r w:rsidRPr="008262CC">
              <w:rPr>
                <w:rFonts w:asciiTheme="minorHAnsi" w:hAnsiTheme="minorHAnsi" w:cs="Arial"/>
                <w:b/>
                <w:bCs/>
                <w:color w:val="000000"/>
                <w:sz w:val="18"/>
                <w:szCs w:val="18"/>
              </w:rPr>
              <w:t>.20</w:t>
            </w:r>
            <w:r w:rsidR="006876FF">
              <w:rPr>
                <w:rFonts w:asciiTheme="minorHAnsi" w:hAnsiTheme="minorHAnsi" w:cs="Arial"/>
                <w:b/>
                <w:bCs/>
                <w:color w:val="000000"/>
                <w:sz w:val="18"/>
                <w:szCs w:val="18"/>
              </w:rPr>
              <w:t>20</w:t>
            </w:r>
          </w:p>
        </w:tc>
      </w:tr>
      <w:tr w:rsidR="00BA6E97" w:rsidRPr="00DA1D3B" w:rsidTr="006876FF">
        <w:trPr>
          <w:trHeight w:val="356"/>
          <w:jc w:val="center"/>
        </w:trPr>
        <w:tc>
          <w:tcPr>
            <w:tcW w:w="2268" w:type="dxa"/>
            <w:tcBorders>
              <w:top w:val="single" w:sz="12" w:space="0" w:color="auto"/>
              <w:left w:val="single" w:sz="8" w:space="0" w:color="auto"/>
              <w:bottom w:val="single" w:sz="4" w:space="0" w:color="auto"/>
              <w:right w:val="single" w:sz="12" w:space="0" w:color="auto"/>
            </w:tcBorders>
            <w:vAlign w:val="center"/>
            <w:hideMark/>
          </w:tcPr>
          <w:p w:rsidR="00BA6E97" w:rsidRPr="008262CC" w:rsidRDefault="00BA6E97" w:rsidP="00766B9B">
            <w:pPr>
              <w:rPr>
                <w:rFonts w:asciiTheme="minorHAnsi" w:hAnsiTheme="minorHAnsi" w:cs="Arial"/>
                <w:color w:val="000000"/>
                <w:sz w:val="18"/>
                <w:szCs w:val="18"/>
              </w:rPr>
            </w:pPr>
            <w:r>
              <w:rPr>
                <w:rFonts w:asciiTheme="minorHAnsi" w:hAnsiTheme="minorHAnsi" w:cs="Arial"/>
                <w:color w:val="000000"/>
                <w:sz w:val="18"/>
                <w:szCs w:val="18"/>
              </w:rPr>
              <w:t xml:space="preserve">MAHLE </w:t>
            </w:r>
            <w:proofErr w:type="spellStart"/>
            <w:r>
              <w:rPr>
                <w:rFonts w:asciiTheme="minorHAnsi" w:hAnsiTheme="minorHAnsi" w:cs="Arial"/>
                <w:color w:val="000000"/>
                <w:sz w:val="18"/>
                <w:szCs w:val="18"/>
              </w:rPr>
              <w:t>Behr</w:t>
            </w:r>
            <w:proofErr w:type="spellEnd"/>
            <w:r>
              <w:rPr>
                <w:rFonts w:asciiTheme="minorHAnsi" w:hAnsiTheme="minorHAnsi" w:cs="Arial"/>
                <w:color w:val="000000"/>
                <w:sz w:val="18"/>
                <w:szCs w:val="18"/>
              </w:rPr>
              <w:t xml:space="preserve"> Ostrava s.r.o. </w:t>
            </w:r>
          </w:p>
        </w:tc>
        <w:tc>
          <w:tcPr>
            <w:tcW w:w="1985" w:type="dxa"/>
            <w:tcBorders>
              <w:top w:val="single" w:sz="12" w:space="0" w:color="auto"/>
              <w:left w:val="single" w:sz="12" w:space="0" w:color="auto"/>
              <w:bottom w:val="single" w:sz="4" w:space="0" w:color="auto"/>
              <w:right w:val="single" w:sz="8" w:space="0" w:color="auto"/>
            </w:tcBorders>
            <w:vAlign w:val="center"/>
          </w:tcPr>
          <w:p w:rsidR="00BA6E97" w:rsidRPr="006876FF" w:rsidRDefault="006876FF" w:rsidP="00E67E72">
            <w:pPr>
              <w:jc w:val="center"/>
              <w:rPr>
                <w:rFonts w:asciiTheme="minorHAnsi" w:hAnsiTheme="minorHAnsi" w:cs="Arial"/>
                <w:color w:val="808080" w:themeColor="background1" w:themeShade="80"/>
                <w:sz w:val="18"/>
                <w:szCs w:val="18"/>
              </w:rPr>
            </w:pPr>
            <w:r w:rsidRPr="006876FF">
              <w:rPr>
                <w:rFonts w:asciiTheme="minorHAnsi" w:hAnsiTheme="minorHAnsi" w:cs="Arial"/>
                <w:bCs/>
                <w:sz w:val="18"/>
                <w:szCs w:val="18"/>
              </w:rPr>
              <w:t>3 262,00</w:t>
            </w:r>
          </w:p>
        </w:tc>
        <w:tc>
          <w:tcPr>
            <w:tcW w:w="2122" w:type="dxa"/>
            <w:tcBorders>
              <w:top w:val="single" w:sz="12" w:space="0" w:color="auto"/>
              <w:left w:val="single" w:sz="8" w:space="0" w:color="auto"/>
              <w:bottom w:val="single" w:sz="4" w:space="0" w:color="auto"/>
              <w:right w:val="single" w:sz="8" w:space="0" w:color="auto"/>
            </w:tcBorders>
            <w:vAlign w:val="center"/>
          </w:tcPr>
          <w:p w:rsidR="00BA6E97" w:rsidRPr="0011090E" w:rsidRDefault="00651888" w:rsidP="00651888">
            <w:pPr>
              <w:ind w:left="-208"/>
              <w:jc w:val="center"/>
              <w:rPr>
                <w:rFonts w:asciiTheme="minorHAnsi" w:hAnsiTheme="minorHAnsi" w:cs="Arial"/>
                <w:b/>
                <w:color w:val="808080" w:themeColor="background1" w:themeShade="80"/>
                <w:sz w:val="18"/>
                <w:szCs w:val="18"/>
              </w:rPr>
            </w:pPr>
            <w:r w:rsidRPr="0011090E">
              <w:rPr>
                <w:rFonts w:asciiTheme="minorHAnsi" w:hAnsiTheme="minorHAnsi" w:cs="Arial"/>
                <w:b/>
                <w:bCs/>
                <w:sz w:val="18"/>
                <w:szCs w:val="18"/>
              </w:rPr>
              <w:t>3 406,00</w:t>
            </w:r>
          </w:p>
        </w:tc>
        <w:tc>
          <w:tcPr>
            <w:tcW w:w="1426" w:type="dxa"/>
            <w:tcBorders>
              <w:top w:val="single" w:sz="12" w:space="0" w:color="auto"/>
              <w:left w:val="single" w:sz="8" w:space="0" w:color="auto"/>
              <w:bottom w:val="single" w:sz="4" w:space="0" w:color="auto"/>
              <w:right w:val="single" w:sz="8" w:space="0" w:color="auto"/>
            </w:tcBorders>
            <w:vAlign w:val="center"/>
          </w:tcPr>
          <w:p w:rsidR="00BA6E97" w:rsidRPr="0011090E" w:rsidRDefault="006876FF" w:rsidP="00E86D3B">
            <w:pPr>
              <w:jc w:val="center"/>
              <w:rPr>
                <w:rFonts w:asciiTheme="minorHAnsi" w:hAnsiTheme="minorHAnsi" w:cs="Arial"/>
                <w:color w:val="808080" w:themeColor="background1" w:themeShade="80"/>
                <w:sz w:val="18"/>
                <w:szCs w:val="18"/>
                <w:lang w:val="en-US"/>
              </w:rPr>
            </w:pPr>
            <w:r w:rsidRPr="0011090E">
              <w:rPr>
                <w:rFonts w:asciiTheme="minorHAnsi" w:hAnsiTheme="minorHAnsi" w:cs="Arial"/>
                <w:bCs/>
                <w:sz w:val="18"/>
                <w:szCs w:val="18"/>
              </w:rPr>
              <w:t>1 547/305</w:t>
            </w:r>
          </w:p>
        </w:tc>
        <w:tc>
          <w:tcPr>
            <w:tcW w:w="1417" w:type="dxa"/>
            <w:tcBorders>
              <w:top w:val="single" w:sz="12" w:space="0" w:color="auto"/>
              <w:left w:val="single" w:sz="8" w:space="0" w:color="auto"/>
              <w:bottom w:val="single" w:sz="4" w:space="0" w:color="auto"/>
              <w:right w:val="single" w:sz="4" w:space="0" w:color="auto"/>
            </w:tcBorders>
            <w:vAlign w:val="center"/>
          </w:tcPr>
          <w:p w:rsidR="00BA6E97" w:rsidRPr="0011090E" w:rsidRDefault="0011090E" w:rsidP="00AB4217">
            <w:pPr>
              <w:jc w:val="center"/>
              <w:rPr>
                <w:rFonts w:asciiTheme="minorHAnsi" w:hAnsiTheme="minorHAnsi" w:cs="Arial"/>
                <w:b/>
                <w:color w:val="808080" w:themeColor="background1" w:themeShade="80"/>
                <w:sz w:val="18"/>
                <w:szCs w:val="18"/>
                <w:lang w:val="en-US"/>
              </w:rPr>
            </w:pPr>
            <w:r w:rsidRPr="0011090E">
              <w:rPr>
                <w:rFonts w:asciiTheme="minorHAnsi" w:hAnsiTheme="minorHAnsi" w:cs="Arial"/>
                <w:b/>
                <w:bCs/>
                <w:sz w:val="18"/>
                <w:szCs w:val="18"/>
              </w:rPr>
              <w:t>1 547/305</w:t>
            </w:r>
          </w:p>
        </w:tc>
        <w:tc>
          <w:tcPr>
            <w:tcW w:w="1418" w:type="dxa"/>
            <w:tcBorders>
              <w:top w:val="single" w:sz="12" w:space="0" w:color="auto"/>
              <w:left w:val="nil"/>
              <w:bottom w:val="single" w:sz="4" w:space="0" w:color="auto"/>
              <w:right w:val="single" w:sz="8" w:space="0" w:color="auto"/>
            </w:tcBorders>
            <w:vAlign w:val="center"/>
            <w:hideMark/>
          </w:tcPr>
          <w:p w:rsidR="00BA6E97" w:rsidRPr="006876FF" w:rsidRDefault="00693F32" w:rsidP="00AB4217">
            <w:pPr>
              <w:jc w:val="center"/>
              <w:rPr>
                <w:rFonts w:asciiTheme="minorHAnsi" w:hAnsiTheme="minorHAnsi" w:cs="Arial"/>
                <w:color w:val="C00000"/>
                <w:sz w:val="18"/>
                <w:szCs w:val="18"/>
                <w:lang w:val="en-US"/>
              </w:rPr>
            </w:pPr>
            <w:r w:rsidRPr="0011090E">
              <w:rPr>
                <w:rFonts w:asciiTheme="minorHAnsi" w:hAnsiTheme="minorHAnsi" w:cs="Arial"/>
                <w:bCs/>
                <w:sz w:val="18"/>
                <w:szCs w:val="18"/>
              </w:rPr>
              <w:t>1</w:t>
            </w:r>
            <w:r w:rsidR="00444CE5" w:rsidRPr="0011090E">
              <w:rPr>
                <w:rFonts w:asciiTheme="minorHAnsi" w:hAnsiTheme="minorHAnsi" w:cs="Arial"/>
                <w:bCs/>
                <w:sz w:val="18"/>
                <w:szCs w:val="18"/>
              </w:rPr>
              <w:t xml:space="preserve"> </w:t>
            </w:r>
            <w:r w:rsidRPr="0011090E">
              <w:rPr>
                <w:rFonts w:asciiTheme="minorHAnsi" w:hAnsiTheme="minorHAnsi" w:cs="Arial"/>
                <w:bCs/>
                <w:sz w:val="18"/>
                <w:szCs w:val="18"/>
              </w:rPr>
              <w:t>4</w:t>
            </w:r>
            <w:r w:rsidR="00AB4217" w:rsidRPr="0011090E">
              <w:rPr>
                <w:rFonts w:asciiTheme="minorHAnsi" w:hAnsiTheme="minorHAnsi" w:cs="Arial"/>
                <w:bCs/>
                <w:sz w:val="18"/>
                <w:szCs w:val="18"/>
              </w:rPr>
              <w:t>51</w:t>
            </w:r>
            <w:r w:rsidRPr="0011090E">
              <w:rPr>
                <w:rFonts w:asciiTheme="minorHAnsi" w:hAnsiTheme="minorHAnsi" w:cs="Arial"/>
                <w:bCs/>
                <w:sz w:val="18"/>
                <w:szCs w:val="18"/>
              </w:rPr>
              <w:t>/</w:t>
            </w:r>
            <w:r w:rsidR="00AB4217" w:rsidRPr="0011090E">
              <w:rPr>
                <w:rFonts w:asciiTheme="minorHAnsi" w:hAnsiTheme="minorHAnsi" w:cs="Arial"/>
                <w:bCs/>
                <w:sz w:val="18"/>
                <w:szCs w:val="18"/>
              </w:rPr>
              <w:t>215</w:t>
            </w:r>
          </w:p>
        </w:tc>
      </w:tr>
      <w:tr w:rsidR="00BA6E97" w:rsidRPr="00DA1D3B" w:rsidTr="006876FF">
        <w:trPr>
          <w:trHeight w:val="356"/>
          <w:jc w:val="center"/>
        </w:trPr>
        <w:tc>
          <w:tcPr>
            <w:tcW w:w="2268" w:type="dxa"/>
            <w:tcBorders>
              <w:top w:val="nil"/>
              <w:left w:val="single" w:sz="8" w:space="0" w:color="auto"/>
              <w:bottom w:val="single" w:sz="4" w:space="0" w:color="auto"/>
              <w:right w:val="single" w:sz="12" w:space="0" w:color="auto"/>
            </w:tcBorders>
            <w:vAlign w:val="center"/>
            <w:hideMark/>
          </w:tcPr>
          <w:p w:rsidR="00BA6E97" w:rsidRPr="008262CC" w:rsidRDefault="00BA6E97" w:rsidP="00766B9B">
            <w:pPr>
              <w:rPr>
                <w:rFonts w:asciiTheme="minorHAnsi" w:hAnsiTheme="minorHAnsi" w:cs="Arial"/>
                <w:color w:val="000000"/>
                <w:sz w:val="18"/>
                <w:szCs w:val="18"/>
              </w:rPr>
            </w:pPr>
            <w:r>
              <w:rPr>
                <w:rFonts w:asciiTheme="minorHAnsi" w:hAnsiTheme="minorHAnsi" w:cs="Arial"/>
                <w:color w:val="000000"/>
                <w:sz w:val="18"/>
                <w:szCs w:val="18"/>
              </w:rPr>
              <w:t xml:space="preserve">PLAKOR CZECH s.r.o. </w:t>
            </w:r>
          </w:p>
        </w:tc>
        <w:tc>
          <w:tcPr>
            <w:tcW w:w="1985" w:type="dxa"/>
            <w:tcBorders>
              <w:top w:val="nil"/>
              <w:left w:val="single" w:sz="12" w:space="0" w:color="auto"/>
              <w:bottom w:val="single" w:sz="4" w:space="0" w:color="auto"/>
              <w:right w:val="single" w:sz="8" w:space="0" w:color="auto"/>
            </w:tcBorders>
            <w:vAlign w:val="center"/>
          </w:tcPr>
          <w:p w:rsidR="00BA6E97" w:rsidRPr="006876FF" w:rsidRDefault="006876FF" w:rsidP="004C4A1B">
            <w:pPr>
              <w:jc w:val="center"/>
              <w:rPr>
                <w:rFonts w:asciiTheme="minorHAnsi" w:hAnsiTheme="minorHAnsi" w:cs="Arial"/>
                <w:color w:val="808080" w:themeColor="background1" w:themeShade="80"/>
                <w:sz w:val="18"/>
                <w:szCs w:val="18"/>
              </w:rPr>
            </w:pPr>
            <w:r w:rsidRPr="006876FF">
              <w:rPr>
                <w:rFonts w:asciiTheme="minorHAnsi" w:hAnsiTheme="minorHAnsi" w:cs="Arial"/>
                <w:bCs/>
                <w:sz w:val="18"/>
                <w:szCs w:val="18"/>
              </w:rPr>
              <w:t>3 440,87</w:t>
            </w:r>
          </w:p>
        </w:tc>
        <w:tc>
          <w:tcPr>
            <w:tcW w:w="2122" w:type="dxa"/>
            <w:tcBorders>
              <w:top w:val="nil"/>
              <w:left w:val="single" w:sz="8" w:space="0" w:color="auto"/>
              <w:bottom w:val="single" w:sz="4" w:space="0" w:color="auto"/>
              <w:right w:val="single" w:sz="8" w:space="0" w:color="auto"/>
            </w:tcBorders>
            <w:vAlign w:val="center"/>
          </w:tcPr>
          <w:p w:rsidR="00BA6E97" w:rsidRPr="0011090E" w:rsidRDefault="0011090E" w:rsidP="00EE1BFE">
            <w:pPr>
              <w:ind w:left="-208"/>
              <w:jc w:val="center"/>
              <w:rPr>
                <w:rFonts w:asciiTheme="minorHAnsi" w:hAnsiTheme="minorHAnsi" w:cs="Arial"/>
                <w:b/>
                <w:color w:val="808080" w:themeColor="background1" w:themeShade="80"/>
                <w:sz w:val="18"/>
                <w:szCs w:val="18"/>
              </w:rPr>
            </w:pPr>
            <w:r w:rsidRPr="0011090E">
              <w:rPr>
                <w:rFonts w:asciiTheme="minorHAnsi" w:hAnsiTheme="minorHAnsi" w:cs="Arial"/>
                <w:b/>
                <w:bCs/>
                <w:sz w:val="18"/>
                <w:szCs w:val="18"/>
              </w:rPr>
              <w:t>3 440,87</w:t>
            </w:r>
          </w:p>
        </w:tc>
        <w:tc>
          <w:tcPr>
            <w:tcW w:w="1426" w:type="dxa"/>
            <w:tcBorders>
              <w:top w:val="nil"/>
              <w:left w:val="single" w:sz="8" w:space="0" w:color="auto"/>
              <w:bottom w:val="single" w:sz="4" w:space="0" w:color="auto"/>
              <w:right w:val="single" w:sz="8" w:space="0" w:color="auto"/>
            </w:tcBorders>
            <w:vAlign w:val="center"/>
          </w:tcPr>
          <w:p w:rsidR="00BA6E97" w:rsidRPr="0011090E" w:rsidRDefault="006876FF" w:rsidP="00E86D3B">
            <w:pPr>
              <w:jc w:val="center"/>
              <w:rPr>
                <w:rFonts w:asciiTheme="minorHAnsi" w:hAnsiTheme="minorHAnsi" w:cs="Arial"/>
                <w:color w:val="808080" w:themeColor="background1" w:themeShade="80"/>
                <w:sz w:val="18"/>
                <w:szCs w:val="18"/>
              </w:rPr>
            </w:pPr>
            <w:r w:rsidRPr="0011090E">
              <w:rPr>
                <w:rFonts w:asciiTheme="minorHAnsi" w:hAnsiTheme="minorHAnsi" w:cs="Arial"/>
                <w:bCs/>
                <w:sz w:val="18"/>
                <w:szCs w:val="18"/>
              </w:rPr>
              <w:t>1 109</w:t>
            </w:r>
          </w:p>
        </w:tc>
        <w:tc>
          <w:tcPr>
            <w:tcW w:w="1417" w:type="dxa"/>
            <w:tcBorders>
              <w:top w:val="nil"/>
              <w:left w:val="single" w:sz="8" w:space="0" w:color="auto"/>
              <w:bottom w:val="single" w:sz="4" w:space="0" w:color="auto"/>
              <w:right w:val="single" w:sz="4" w:space="0" w:color="auto"/>
            </w:tcBorders>
            <w:vAlign w:val="center"/>
          </w:tcPr>
          <w:p w:rsidR="00BA6E97" w:rsidRPr="00BE1774" w:rsidRDefault="0011090E" w:rsidP="00EE1BFE">
            <w:pPr>
              <w:jc w:val="center"/>
              <w:rPr>
                <w:rFonts w:asciiTheme="minorHAnsi" w:hAnsiTheme="minorHAnsi" w:cs="Arial"/>
                <w:b/>
                <w:color w:val="C00000"/>
                <w:sz w:val="18"/>
                <w:szCs w:val="18"/>
              </w:rPr>
            </w:pPr>
            <w:r w:rsidRPr="0011090E">
              <w:rPr>
                <w:rFonts w:asciiTheme="minorHAnsi" w:hAnsiTheme="minorHAnsi" w:cs="Arial"/>
                <w:b/>
                <w:sz w:val="18"/>
                <w:szCs w:val="18"/>
              </w:rPr>
              <w:t>1 068</w:t>
            </w:r>
          </w:p>
        </w:tc>
        <w:tc>
          <w:tcPr>
            <w:tcW w:w="1418" w:type="dxa"/>
            <w:tcBorders>
              <w:top w:val="nil"/>
              <w:left w:val="nil"/>
              <w:bottom w:val="single" w:sz="4" w:space="0" w:color="auto"/>
              <w:right w:val="single" w:sz="8" w:space="0" w:color="auto"/>
            </w:tcBorders>
            <w:vAlign w:val="center"/>
            <w:hideMark/>
          </w:tcPr>
          <w:p w:rsidR="00BA6E97" w:rsidRPr="006876FF" w:rsidRDefault="00444CE5" w:rsidP="00EE1BFE">
            <w:pPr>
              <w:jc w:val="center"/>
              <w:rPr>
                <w:rFonts w:asciiTheme="minorHAnsi" w:hAnsiTheme="minorHAnsi" w:cs="Arial"/>
                <w:color w:val="C00000"/>
                <w:sz w:val="18"/>
                <w:szCs w:val="18"/>
              </w:rPr>
            </w:pPr>
            <w:r w:rsidRPr="0011090E">
              <w:rPr>
                <w:rFonts w:asciiTheme="minorHAnsi" w:hAnsiTheme="minorHAnsi" w:cs="Arial"/>
                <w:bCs/>
                <w:sz w:val="18"/>
                <w:szCs w:val="18"/>
              </w:rPr>
              <w:t xml:space="preserve">1 </w:t>
            </w:r>
            <w:r w:rsidR="00EE1BFE" w:rsidRPr="0011090E">
              <w:rPr>
                <w:rFonts w:asciiTheme="minorHAnsi" w:hAnsiTheme="minorHAnsi" w:cs="Arial"/>
                <w:bCs/>
                <w:sz w:val="18"/>
                <w:szCs w:val="18"/>
              </w:rPr>
              <w:t>120</w:t>
            </w:r>
          </w:p>
        </w:tc>
      </w:tr>
      <w:tr w:rsidR="00BA6E97" w:rsidRPr="008262CC" w:rsidTr="00BA6E97">
        <w:trPr>
          <w:trHeight w:val="356"/>
          <w:jc w:val="center"/>
        </w:trPr>
        <w:tc>
          <w:tcPr>
            <w:tcW w:w="2268" w:type="dxa"/>
            <w:tcBorders>
              <w:top w:val="single" w:sz="4" w:space="0" w:color="auto"/>
              <w:left w:val="single" w:sz="8" w:space="0" w:color="auto"/>
              <w:bottom w:val="single" w:sz="8" w:space="0" w:color="auto"/>
              <w:right w:val="single" w:sz="12" w:space="0" w:color="auto"/>
            </w:tcBorders>
            <w:vAlign w:val="center"/>
          </w:tcPr>
          <w:p w:rsidR="00BA6E97" w:rsidRPr="008262CC" w:rsidRDefault="00BA6E97" w:rsidP="00766B9B">
            <w:pPr>
              <w:rPr>
                <w:rFonts w:asciiTheme="minorHAnsi" w:hAnsiTheme="minorHAnsi" w:cs="Arial"/>
                <w:color w:val="000000"/>
                <w:sz w:val="18"/>
                <w:szCs w:val="18"/>
              </w:rPr>
            </w:pPr>
            <w:r>
              <w:rPr>
                <w:rFonts w:asciiTheme="minorHAnsi" w:hAnsiTheme="minorHAnsi" w:cs="Arial"/>
                <w:color w:val="000000"/>
                <w:sz w:val="18"/>
                <w:szCs w:val="18"/>
              </w:rPr>
              <w:t xml:space="preserve">CROMODORA WHEELS s.r.o. </w:t>
            </w:r>
          </w:p>
        </w:tc>
        <w:tc>
          <w:tcPr>
            <w:tcW w:w="1985" w:type="dxa"/>
            <w:tcBorders>
              <w:top w:val="single" w:sz="4" w:space="0" w:color="auto"/>
              <w:left w:val="single" w:sz="12" w:space="0" w:color="auto"/>
              <w:bottom w:val="single" w:sz="8" w:space="0" w:color="auto"/>
              <w:right w:val="single" w:sz="8" w:space="0" w:color="auto"/>
            </w:tcBorders>
            <w:vAlign w:val="center"/>
          </w:tcPr>
          <w:p w:rsidR="00BA6E97" w:rsidRPr="006876FF" w:rsidRDefault="006876FF" w:rsidP="004C4A1B">
            <w:pPr>
              <w:jc w:val="center"/>
              <w:rPr>
                <w:rFonts w:asciiTheme="minorHAnsi" w:hAnsiTheme="minorHAnsi" w:cs="Arial"/>
                <w:color w:val="808080" w:themeColor="background1" w:themeShade="80"/>
                <w:sz w:val="18"/>
                <w:szCs w:val="18"/>
              </w:rPr>
            </w:pPr>
            <w:r w:rsidRPr="006876FF">
              <w:rPr>
                <w:rFonts w:asciiTheme="minorHAnsi" w:hAnsiTheme="minorHAnsi" w:cs="Arial"/>
                <w:sz w:val="18"/>
                <w:szCs w:val="18"/>
              </w:rPr>
              <w:t>2 938,38</w:t>
            </w:r>
          </w:p>
        </w:tc>
        <w:tc>
          <w:tcPr>
            <w:tcW w:w="2122" w:type="dxa"/>
            <w:tcBorders>
              <w:top w:val="single" w:sz="4" w:space="0" w:color="auto"/>
              <w:left w:val="single" w:sz="8" w:space="0" w:color="auto"/>
              <w:bottom w:val="single" w:sz="8" w:space="0" w:color="auto"/>
              <w:right w:val="single" w:sz="8" w:space="0" w:color="auto"/>
            </w:tcBorders>
            <w:vAlign w:val="center"/>
          </w:tcPr>
          <w:p w:rsidR="00BA6E97" w:rsidRPr="0011090E" w:rsidRDefault="0011090E" w:rsidP="0011090E">
            <w:pPr>
              <w:ind w:left="-208"/>
              <w:jc w:val="center"/>
              <w:rPr>
                <w:rFonts w:asciiTheme="minorHAnsi" w:hAnsiTheme="minorHAnsi" w:cs="Arial"/>
                <w:b/>
                <w:color w:val="808080" w:themeColor="background1" w:themeShade="80"/>
                <w:sz w:val="18"/>
                <w:szCs w:val="18"/>
              </w:rPr>
            </w:pPr>
            <w:r w:rsidRPr="0011090E">
              <w:rPr>
                <w:rFonts w:asciiTheme="minorHAnsi" w:hAnsiTheme="minorHAnsi" w:cs="Arial"/>
                <w:b/>
                <w:sz w:val="18"/>
                <w:szCs w:val="18"/>
              </w:rPr>
              <w:t>2 992,85</w:t>
            </w:r>
          </w:p>
        </w:tc>
        <w:tc>
          <w:tcPr>
            <w:tcW w:w="1426" w:type="dxa"/>
            <w:tcBorders>
              <w:top w:val="single" w:sz="4" w:space="0" w:color="auto"/>
              <w:left w:val="single" w:sz="8" w:space="0" w:color="auto"/>
              <w:bottom w:val="single" w:sz="8" w:space="0" w:color="auto"/>
              <w:right w:val="single" w:sz="8" w:space="0" w:color="auto"/>
            </w:tcBorders>
            <w:vAlign w:val="center"/>
          </w:tcPr>
          <w:p w:rsidR="00BA6E97" w:rsidRPr="0011090E" w:rsidRDefault="006876FF" w:rsidP="00E67E72">
            <w:pPr>
              <w:jc w:val="center"/>
              <w:rPr>
                <w:rFonts w:asciiTheme="minorHAnsi" w:hAnsiTheme="minorHAnsi" w:cs="Arial"/>
                <w:color w:val="808080" w:themeColor="background1" w:themeShade="80"/>
                <w:sz w:val="18"/>
                <w:szCs w:val="18"/>
              </w:rPr>
            </w:pPr>
            <w:r w:rsidRPr="0011090E">
              <w:rPr>
                <w:rFonts w:asciiTheme="minorHAnsi" w:hAnsiTheme="minorHAnsi" w:cs="Arial"/>
                <w:sz w:val="18"/>
                <w:szCs w:val="18"/>
              </w:rPr>
              <w:t>475</w:t>
            </w:r>
          </w:p>
        </w:tc>
        <w:tc>
          <w:tcPr>
            <w:tcW w:w="1417" w:type="dxa"/>
            <w:tcBorders>
              <w:top w:val="single" w:sz="4" w:space="0" w:color="auto"/>
              <w:left w:val="single" w:sz="8" w:space="0" w:color="auto"/>
              <w:bottom w:val="single" w:sz="8" w:space="0" w:color="auto"/>
              <w:right w:val="single" w:sz="4" w:space="0" w:color="auto"/>
            </w:tcBorders>
            <w:vAlign w:val="center"/>
          </w:tcPr>
          <w:p w:rsidR="00BA6E97" w:rsidRPr="0011090E" w:rsidRDefault="0011090E" w:rsidP="00981E3B">
            <w:pPr>
              <w:jc w:val="center"/>
              <w:rPr>
                <w:rFonts w:asciiTheme="minorHAnsi" w:hAnsiTheme="minorHAnsi" w:cs="Arial"/>
                <w:b/>
                <w:color w:val="808080" w:themeColor="background1" w:themeShade="80"/>
                <w:sz w:val="18"/>
                <w:szCs w:val="18"/>
              </w:rPr>
            </w:pPr>
            <w:r w:rsidRPr="0011090E">
              <w:rPr>
                <w:rFonts w:asciiTheme="minorHAnsi" w:hAnsiTheme="minorHAnsi" w:cs="Arial"/>
                <w:b/>
                <w:sz w:val="18"/>
                <w:szCs w:val="18"/>
              </w:rPr>
              <w:t>444</w:t>
            </w:r>
          </w:p>
        </w:tc>
        <w:tc>
          <w:tcPr>
            <w:tcW w:w="1418" w:type="dxa"/>
            <w:tcBorders>
              <w:top w:val="single" w:sz="4" w:space="0" w:color="auto"/>
              <w:left w:val="nil"/>
              <w:bottom w:val="single" w:sz="8" w:space="0" w:color="auto"/>
              <w:right w:val="single" w:sz="8" w:space="0" w:color="auto"/>
            </w:tcBorders>
            <w:vAlign w:val="center"/>
          </w:tcPr>
          <w:p w:rsidR="00BA6E97" w:rsidRPr="006876FF" w:rsidRDefault="0011090E" w:rsidP="00981E3B">
            <w:pPr>
              <w:jc w:val="center"/>
              <w:rPr>
                <w:rFonts w:asciiTheme="minorHAnsi" w:hAnsiTheme="minorHAnsi" w:cs="Arial"/>
                <w:color w:val="C00000"/>
                <w:sz w:val="18"/>
                <w:szCs w:val="18"/>
              </w:rPr>
            </w:pPr>
            <w:r w:rsidRPr="0011090E">
              <w:rPr>
                <w:rFonts w:asciiTheme="minorHAnsi" w:hAnsiTheme="minorHAnsi" w:cs="Arial"/>
                <w:sz w:val="18"/>
                <w:szCs w:val="18"/>
              </w:rPr>
              <w:t>471</w:t>
            </w:r>
          </w:p>
        </w:tc>
      </w:tr>
      <w:tr w:rsidR="00BA6E97" w:rsidRPr="008262CC" w:rsidTr="00BA6E97">
        <w:trPr>
          <w:trHeight w:val="439"/>
          <w:jc w:val="center"/>
        </w:trPr>
        <w:tc>
          <w:tcPr>
            <w:tcW w:w="2268" w:type="dxa"/>
            <w:tcBorders>
              <w:top w:val="single" w:sz="4" w:space="0" w:color="auto"/>
              <w:left w:val="single" w:sz="8" w:space="0" w:color="auto"/>
              <w:bottom w:val="single" w:sz="8" w:space="0" w:color="auto"/>
              <w:right w:val="single" w:sz="12" w:space="0" w:color="auto"/>
            </w:tcBorders>
            <w:vAlign w:val="center"/>
          </w:tcPr>
          <w:p w:rsidR="00BA6E97" w:rsidRPr="008262CC" w:rsidRDefault="00C50571" w:rsidP="00766B9B">
            <w:pPr>
              <w:rPr>
                <w:rFonts w:asciiTheme="minorHAnsi" w:hAnsiTheme="minorHAnsi" w:cs="Arial"/>
                <w:color w:val="000000"/>
                <w:sz w:val="18"/>
                <w:szCs w:val="18"/>
              </w:rPr>
            </w:pPr>
            <w:r>
              <w:rPr>
                <w:rFonts w:asciiTheme="minorHAnsi" w:hAnsiTheme="minorHAnsi" w:cs="Arial"/>
                <w:color w:val="000000"/>
                <w:sz w:val="18"/>
                <w:szCs w:val="18"/>
              </w:rPr>
              <w:t xml:space="preserve">ENES </w:t>
            </w:r>
            <w:proofErr w:type="spellStart"/>
            <w:r>
              <w:rPr>
                <w:rFonts w:asciiTheme="minorHAnsi" w:hAnsiTheme="minorHAnsi" w:cs="Arial"/>
                <w:color w:val="000000"/>
                <w:sz w:val="18"/>
                <w:szCs w:val="18"/>
              </w:rPr>
              <w:t>Cargo</w:t>
            </w:r>
            <w:proofErr w:type="spellEnd"/>
            <w:r>
              <w:rPr>
                <w:rFonts w:asciiTheme="minorHAnsi" w:hAnsiTheme="minorHAnsi" w:cs="Arial"/>
                <w:color w:val="000000"/>
                <w:sz w:val="18"/>
                <w:szCs w:val="18"/>
              </w:rPr>
              <w:t xml:space="preserve"> a. s. </w:t>
            </w:r>
          </w:p>
        </w:tc>
        <w:tc>
          <w:tcPr>
            <w:tcW w:w="1985" w:type="dxa"/>
            <w:tcBorders>
              <w:top w:val="single" w:sz="4" w:space="0" w:color="auto"/>
              <w:left w:val="single" w:sz="12" w:space="0" w:color="auto"/>
              <w:bottom w:val="single" w:sz="8" w:space="0" w:color="auto"/>
              <w:right w:val="single" w:sz="8" w:space="0" w:color="auto"/>
            </w:tcBorders>
            <w:vAlign w:val="center"/>
          </w:tcPr>
          <w:p w:rsidR="00BA6E97" w:rsidRPr="006876FF" w:rsidRDefault="006876FF" w:rsidP="00E67E72">
            <w:pPr>
              <w:jc w:val="center"/>
              <w:rPr>
                <w:rFonts w:asciiTheme="minorHAnsi" w:hAnsiTheme="minorHAnsi" w:cs="Arial"/>
                <w:color w:val="808080" w:themeColor="background1" w:themeShade="80"/>
                <w:sz w:val="18"/>
                <w:szCs w:val="18"/>
              </w:rPr>
            </w:pPr>
            <w:r w:rsidRPr="006876FF">
              <w:rPr>
                <w:rFonts w:asciiTheme="minorHAnsi" w:hAnsiTheme="minorHAnsi" w:cs="Arial"/>
                <w:sz w:val="18"/>
                <w:szCs w:val="18"/>
              </w:rPr>
              <w:t>25,04</w:t>
            </w:r>
          </w:p>
        </w:tc>
        <w:tc>
          <w:tcPr>
            <w:tcW w:w="2122" w:type="dxa"/>
            <w:tcBorders>
              <w:top w:val="single" w:sz="4" w:space="0" w:color="auto"/>
              <w:left w:val="single" w:sz="8" w:space="0" w:color="auto"/>
              <w:bottom w:val="single" w:sz="8" w:space="0" w:color="auto"/>
              <w:right w:val="single" w:sz="8" w:space="0" w:color="auto"/>
            </w:tcBorders>
            <w:vAlign w:val="center"/>
          </w:tcPr>
          <w:p w:rsidR="00BA6E97" w:rsidRPr="0014051A" w:rsidRDefault="0014051A" w:rsidP="00E67E72">
            <w:pPr>
              <w:ind w:left="-208"/>
              <w:jc w:val="center"/>
              <w:rPr>
                <w:rFonts w:asciiTheme="minorHAnsi" w:hAnsiTheme="minorHAnsi" w:cs="Arial"/>
                <w:b/>
                <w:color w:val="808080" w:themeColor="background1" w:themeShade="80"/>
                <w:sz w:val="18"/>
                <w:szCs w:val="18"/>
              </w:rPr>
            </w:pPr>
            <w:r w:rsidRPr="0014051A">
              <w:rPr>
                <w:rFonts w:asciiTheme="minorHAnsi" w:hAnsiTheme="minorHAnsi" w:cs="Arial"/>
                <w:b/>
                <w:sz w:val="18"/>
                <w:szCs w:val="18"/>
              </w:rPr>
              <w:t>25,04</w:t>
            </w:r>
          </w:p>
        </w:tc>
        <w:tc>
          <w:tcPr>
            <w:tcW w:w="1426" w:type="dxa"/>
            <w:tcBorders>
              <w:top w:val="single" w:sz="4" w:space="0" w:color="auto"/>
              <w:left w:val="single" w:sz="8" w:space="0" w:color="auto"/>
              <w:bottom w:val="single" w:sz="8" w:space="0" w:color="auto"/>
              <w:right w:val="single" w:sz="8" w:space="0" w:color="auto"/>
            </w:tcBorders>
            <w:vAlign w:val="center"/>
          </w:tcPr>
          <w:p w:rsidR="00BA6E97" w:rsidRPr="0011090E" w:rsidRDefault="006876FF" w:rsidP="00E67E72">
            <w:pPr>
              <w:jc w:val="center"/>
              <w:rPr>
                <w:rFonts w:asciiTheme="minorHAnsi" w:hAnsiTheme="minorHAnsi" w:cs="Arial"/>
                <w:color w:val="808080" w:themeColor="background1" w:themeShade="80"/>
                <w:sz w:val="18"/>
                <w:szCs w:val="18"/>
              </w:rPr>
            </w:pPr>
            <w:r w:rsidRPr="0011090E">
              <w:rPr>
                <w:rFonts w:asciiTheme="minorHAnsi" w:hAnsiTheme="minorHAnsi" w:cs="Arial"/>
                <w:sz w:val="18"/>
                <w:szCs w:val="18"/>
              </w:rPr>
              <w:t>7</w:t>
            </w:r>
          </w:p>
        </w:tc>
        <w:tc>
          <w:tcPr>
            <w:tcW w:w="1417" w:type="dxa"/>
            <w:tcBorders>
              <w:top w:val="single" w:sz="4" w:space="0" w:color="auto"/>
              <w:left w:val="single" w:sz="8" w:space="0" w:color="auto"/>
              <w:bottom w:val="single" w:sz="8" w:space="0" w:color="auto"/>
              <w:right w:val="single" w:sz="4" w:space="0" w:color="auto"/>
            </w:tcBorders>
            <w:vAlign w:val="center"/>
          </w:tcPr>
          <w:p w:rsidR="00BA6E97" w:rsidRPr="0022230C" w:rsidRDefault="0014051A" w:rsidP="00E67E72">
            <w:pPr>
              <w:jc w:val="center"/>
              <w:rPr>
                <w:rFonts w:asciiTheme="minorHAnsi" w:hAnsiTheme="minorHAnsi" w:cs="Arial"/>
                <w:b/>
                <w:sz w:val="18"/>
                <w:szCs w:val="18"/>
              </w:rPr>
            </w:pPr>
            <w:r>
              <w:rPr>
                <w:rFonts w:asciiTheme="minorHAnsi" w:hAnsiTheme="minorHAnsi" w:cs="Arial"/>
                <w:b/>
                <w:sz w:val="18"/>
                <w:szCs w:val="18"/>
              </w:rPr>
              <w:t>7</w:t>
            </w:r>
          </w:p>
        </w:tc>
        <w:tc>
          <w:tcPr>
            <w:tcW w:w="1418" w:type="dxa"/>
            <w:tcBorders>
              <w:top w:val="single" w:sz="4" w:space="0" w:color="auto"/>
              <w:left w:val="nil"/>
              <w:bottom w:val="single" w:sz="8" w:space="0" w:color="auto"/>
              <w:right w:val="single" w:sz="8" w:space="0" w:color="auto"/>
            </w:tcBorders>
            <w:vAlign w:val="center"/>
          </w:tcPr>
          <w:p w:rsidR="00BA6E97" w:rsidRPr="006876FF" w:rsidRDefault="00F03017" w:rsidP="00E67E72">
            <w:pPr>
              <w:jc w:val="center"/>
              <w:rPr>
                <w:rFonts w:asciiTheme="minorHAnsi" w:hAnsiTheme="minorHAnsi" w:cs="Arial"/>
                <w:color w:val="C00000"/>
                <w:sz w:val="18"/>
                <w:szCs w:val="18"/>
              </w:rPr>
            </w:pPr>
            <w:r w:rsidRPr="0014051A">
              <w:rPr>
                <w:rFonts w:asciiTheme="minorHAnsi" w:hAnsiTheme="minorHAnsi" w:cs="Arial"/>
                <w:sz w:val="18"/>
                <w:szCs w:val="18"/>
              </w:rPr>
              <w:t>7</w:t>
            </w:r>
          </w:p>
        </w:tc>
      </w:tr>
      <w:tr w:rsidR="00BA6E97" w:rsidRPr="008262CC" w:rsidTr="00BA6E97">
        <w:trPr>
          <w:trHeight w:val="439"/>
          <w:jc w:val="center"/>
        </w:trPr>
        <w:tc>
          <w:tcPr>
            <w:tcW w:w="2268" w:type="dxa"/>
            <w:tcBorders>
              <w:top w:val="single" w:sz="4" w:space="0" w:color="auto"/>
              <w:left w:val="single" w:sz="8" w:space="0" w:color="auto"/>
              <w:bottom w:val="single" w:sz="8" w:space="0" w:color="auto"/>
              <w:right w:val="single" w:sz="12" w:space="0" w:color="auto"/>
            </w:tcBorders>
            <w:vAlign w:val="center"/>
          </w:tcPr>
          <w:p w:rsidR="00BA6E97" w:rsidRPr="008262CC" w:rsidRDefault="00CE5D9B" w:rsidP="00766B9B">
            <w:pPr>
              <w:rPr>
                <w:rFonts w:asciiTheme="minorHAnsi" w:hAnsiTheme="minorHAnsi" w:cs="Arial"/>
                <w:color w:val="000000"/>
                <w:sz w:val="18"/>
                <w:szCs w:val="18"/>
              </w:rPr>
            </w:pPr>
            <w:r>
              <w:rPr>
                <w:rFonts w:asciiTheme="minorHAnsi" w:hAnsiTheme="minorHAnsi" w:cs="Arial"/>
                <w:color w:val="000000"/>
                <w:sz w:val="18"/>
                <w:szCs w:val="18"/>
              </w:rPr>
              <w:t xml:space="preserve">OSTRAVA AIRPORT MULTIMODAL PARK s. r. o. </w:t>
            </w:r>
          </w:p>
        </w:tc>
        <w:tc>
          <w:tcPr>
            <w:tcW w:w="1985" w:type="dxa"/>
            <w:tcBorders>
              <w:top w:val="single" w:sz="4" w:space="0" w:color="auto"/>
              <w:left w:val="single" w:sz="12" w:space="0" w:color="auto"/>
              <w:bottom w:val="single" w:sz="8" w:space="0" w:color="auto"/>
              <w:right w:val="single" w:sz="8" w:space="0" w:color="auto"/>
            </w:tcBorders>
            <w:vAlign w:val="center"/>
          </w:tcPr>
          <w:p w:rsidR="00BA6E97" w:rsidRPr="006876FF" w:rsidRDefault="006876FF" w:rsidP="00E67E72">
            <w:pPr>
              <w:jc w:val="center"/>
              <w:rPr>
                <w:rFonts w:asciiTheme="minorHAnsi" w:hAnsiTheme="minorHAnsi" w:cs="Arial"/>
                <w:color w:val="808080" w:themeColor="background1" w:themeShade="80"/>
                <w:sz w:val="18"/>
                <w:szCs w:val="18"/>
              </w:rPr>
            </w:pPr>
            <w:r w:rsidRPr="006876FF">
              <w:rPr>
                <w:rFonts w:asciiTheme="minorHAnsi" w:hAnsiTheme="minorHAnsi" w:cs="Arial"/>
                <w:sz w:val="18"/>
                <w:szCs w:val="18"/>
              </w:rPr>
              <w:t>432,00</w:t>
            </w:r>
          </w:p>
        </w:tc>
        <w:tc>
          <w:tcPr>
            <w:tcW w:w="2122" w:type="dxa"/>
            <w:tcBorders>
              <w:top w:val="single" w:sz="4" w:space="0" w:color="auto"/>
              <w:left w:val="single" w:sz="8" w:space="0" w:color="auto"/>
              <w:bottom w:val="single" w:sz="8" w:space="0" w:color="auto"/>
              <w:right w:val="single" w:sz="8" w:space="0" w:color="auto"/>
            </w:tcBorders>
            <w:vAlign w:val="center"/>
          </w:tcPr>
          <w:p w:rsidR="00BA6E97" w:rsidRPr="007B06E4" w:rsidRDefault="007B06E4" w:rsidP="00E67E72">
            <w:pPr>
              <w:ind w:left="-208"/>
              <w:jc w:val="center"/>
              <w:rPr>
                <w:rFonts w:asciiTheme="minorHAnsi" w:hAnsiTheme="minorHAnsi" w:cs="Arial"/>
                <w:b/>
                <w:color w:val="808080" w:themeColor="background1" w:themeShade="80"/>
                <w:sz w:val="18"/>
                <w:szCs w:val="18"/>
              </w:rPr>
            </w:pPr>
            <w:r w:rsidRPr="007B06E4">
              <w:rPr>
                <w:rFonts w:asciiTheme="minorHAnsi" w:hAnsiTheme="minorHAnsi" w:cs="Arial"/>
                <w:b/>
                <w:sz w:val="18"/>
                <w:szCs w:val="18"/>
              </w:rPr>
              <w:t>583,00</w:t>
            </w:r>
          </w:p>
        </w:tc>
        <w:tc>
          <w:tcPr>
            <w:tcW w:w="1426" w:type="dxa"/>
            <w:tcBorders>
              <w:top w:val="single" w:sz="4" w:space="0" w:color="auto"/>
              <w:left w:val="single" w:sz="8" w:space="0" w:color="auto"/>
              <w:bottom w:val="single" w:sz="8" w:space="0" w:color="auto"/>
              <w:right w:val="single" w:sz="8" w:space="0" w:color="auto"/>
            </w:tcBorders>
            <w:vAlign w:val="center"/>
          </w:tcPr>
          <w:p w:rsidR="00BA6E97" w:rsidRPr="0011090E" w:rsidRDefault="006876FF" w:rsidP="00E67E72">
            <w:pPr>
              <w:jc w:val="center"/>
              <w:rPr>
                <w:rFonts w:asciiTheme="minorHAnsi" w:hAnsiTheme="minorHAnsi" w:cs="Arial"/>
                <w:color w:val="808080" w:themeColor="background1" w:themeShade="80"/>
                <w:sz w:val="18"/>
                <w:szCs w:val="18"/>
              </w:rPr>
            </w:pPr>
            <w:r w:rsidRPr="0011090E">
              <w:rPr>
                <w:rFonts w:asciiTheme="minorHAnsi" w:hAnsiTheme="minorHAnsi" w:cs="Arial"/>
                <w:sz w:val="18"/>
                <w:szCs w:val="18"/>
              </w:rPr>
              <w:t>2</w:t>
            </w:r>
          </w:p>
        </w:tc>
        <w:tc>
          <w:tcPr>
            <w:tcW w:w="1417" w:type="dxa"/>
            <w:tcBorders>
              <w:top w:val="single" w:sz="4" w:space="0" w:color="auto"/>
              <w:left w:val="single" w:sz="8" w:space="0" w:color="auto"/>
              <w:bottom w:val="single" w:sz="8" w:space="0" w:color="auto"/>
              <w:right w:val="single" w:sz="4" w:space="0" w:color="auto"/>
            </w:tcBorders>
            <w:vAlign w:val="center"/>
          </w:tcPr>
          <w:p w:rsidR="00BA6E97" w:rsidRPr="007B06E4" w:rsidRDefault="007B06E4" w:rsidP="00E67E72">
            <w:pPr>
              <w:jc w:val="center"/>
              <w:rPr>
                <w:rFonts w:asciiTheme="minorHAnsi" w:hAnsiTheme="minorHAnsi" w:cs="Arial"/>
                <w:b/>
                <w:color w:val="808080" w:themeColor="background1" w:themeShade="80"/>
                <w:sz w:val="18"/>
                <w:szCs w:val="18"/>
              </w:rPr>
            </w:pPr>
            <w:r w:rsidRPr="007B06E4">
              <w:rPr>
                <w:rFonts w:asciiTheme="minorHAnsi" w:hAnsiTheme="minorHAnsi" w:cs="Arial"/>
                <w:b/>
                <w:sz w:val="18"/>
                <w:szCs w:val="18"/>
              </w:rPr>
              <w:t>29</w:t>
            </w:r>
          </w:p>
        </w:tc>
        <w:tc>
          <w:tcPr>
            <w:tcW w:w="1418" w:type="dxa"/>
            <w:tcBorders>
              <w:top w:val="single" w:sz="4" w:space="0" w:color="auto"/>
              <w:left w:val="nil"/>
              <w:bottom w:val="single" w:sz="8" w:space="0" w:color="auto"/>
              <w:right w:val="single" w:sz="8" w:space="0" w:color="auto"/>
            </w:tcBorders>
            <w:vAlign w:val="center"/>
          </w:tcPr>
          <w:p w:rsidR="00BA6E97" w:rsidRPr="006876FF" w:rsidRDefault="007B06E4" w:rsidP="00E67E72">
            <w:pPr>
              <w:jc w:val="center"/>
              <w:rPr>
                <w:rFonts w:asciiTheme="minorHAnsi" w:hAnsiTheme="minorHAnsi" w:cs="Arial"/>
                <w:color w:val="C00000"/>
                <w:sz w:val="18"/>
                <w:szCs w:val="18"/>
              </w:rPr>
            </w:pPr>
            <w:r w:rsidRPr="007B06E4">
              <w:rPr>
                <w:rFonts w:asciiTheme="minorHAnsi" w:hAnsiTheme="minorHAnsi" w:cs="Arial"/>
                <w:sz w:val="18"/>
                <w:szCs w:val="18"/>
              </w:rPr>
              <w:t>150</w:t>
            </w:r>
          </w:p>
        </w:tc>
      </w:tr>
      <w:tr w:rsidR="00BA6E97" w:rsidRPr="008262CC" w:rsidTr="00BA6E97">
        <w:trPr>
          <w:trHeight w:val="439"/>
          <w:jc w:val="center"/>
        </w:trPr>
        <w:tc>
          <w:tcPr>
            <w:tcW w:w="2268" w:type="dxa"/>
            <w:tcBorders>
              <w:top w:val="single" w:sz="4" w:space="0" w:color="auto"/>
              <w:left w:val="single" w:sz="8" w:space="0" w:color="auto"/>
              <w:bottom w:val="single" w:sz="8" w:space="0" w:color="auto"/>
              <w:right w:val="single" w:sz="12" w:space="0" w:color="auto"/>
            </w:tcBorders>
            <w:vAlign w:val="center"/>
          </w:tcPr>
          <w:p w:rsidR="00BA6E97" w:rsidRPr="008262CC" w:rsidRDefault="00BA6E97" w:rsidP="00766B9B">
            <w:pPr>
              <w:rPr>
                <w:rFonts w:asciiTheme="minorHAnsi" w:hAnsiTheme="minorHAnsi" w:cs="Arial"/>
                <w:color w:val="000000"/>
                <w:sz w:val="18"/>
                <w:szCs w:val="18"/>
              </w:rPr>
            </w:pPr>
            <w:proofErr w:type="spellStart"/>
            <w:r>
              <w:rPr>
                <w:rFonts w:asciiTheme="minorHAnsi" w:hAnsiTheme="minorHAnsi" w:cs="Arial"/>
                <w:color w:val="000000"/>
                <w:sz w:val="18"/>
                <w:szCs w:val="18"/>
              </w:rPr>
              <w:t>Mobis</w:t>
            </w:r>
            <w:proofErr w:type="spellEnd"/>
            <w:r>
              <w:rPr>
                <w:rFonts w:asciiTheme="minorHAnsi" w:hAnsiTheme="minorHAnsi" w:cs="Arial"/>
                <w:color w:val="000000"/>
                <w:sz w:val="18"/>
                <w:szCs w:val="18"/>
              </w:rPr>
              <w:t xml:space="preserve"> </w:t>
            </w:r>
            <w:proofErr w:type="spellStart"/>
            <w:r>
              <w:rPr>
                <w:rFonts w:asciiTheme="minorHAnsi" w:hAnsiTheme="minorHAnsi" w:cs="Arial"/>
                <w:color w:val="000000"/>
                <w:sz w:val="18"/>
                <w:szCs w:val="18"/>
              </w:rPr>
              <w:t>Automotive</w:t>
            </w:r>
            <w:proofErr w:type="spellEnd"/>
            <w:r>
              <w:rPr>
                <w:rFonts w:asciiTheme="minorHAnsi" w:hAnsiTheme="minorHAnsi" w:cs="Arial"/>
                <w:color w:val="000000"/>
                <w:sz w:val="18"/>
                <w:szCs w:val="18"/>
              </w:rPr>
              <w:t xml:space="preserve"> </w:t>
            </w:r>
            <w:proofErr w:type="spellStart"/>
            <w:r>
              <w:rPr>
                <w:rFonts w:asciiTheme="minorHAnsi" w:hAnsiTheme="minorHAnsi" w:cs="Arial"/>
                <w:color w:val="000000"/>
                <w:sz w:val="18"/>
                <w:szCs w:val="18"/>
              </w:rPr>
              <w:t>System</w:t>
            </w:r>
            <w:proofErr w:type="spellEnd"/>
            <w:r>
              <w:rPr>
                <w:rFonts w:asciiTheme="minorHAnsi" w:hAnsiTheme="minorHAnsi" w:cs="Arial"/>
                <w:color w:val="000000"/>
                <w:sz w:val="18"/>
                <w:szCs w:val="18"/>
              </w:rPr>
              <w:t xml:space="preserve"> Czech s.r.o. </w:t>
            </w:r>
          </w:p>
        </w:tc>
        <w:tc>
          <w:tcPr>
            <w:tcW w:w="1985" w:type="dxa"/>
            <w:tcBorders>
              <w:top w:val="single" w:sz="4" w:space="0" w:color="auto"/>
              <w:left w:val="single" w:sz="12" w:space="0" w:color="auto"/>
              <w:bottom w:val="single" w:sz="8" w:space="0" w:color="auto"/>
              <w:right w:val="single" w:sz="8" w:space="0" w:color="auto"/>
            </w:tcBorders>
            <w:vAlign w:val="center"/>
          </w:tcPr>
          <w:p w:rsidR="00BA6E97" w:rsidRPr="006876FF" w:rsidRDefault="006876FF" w:rsidP="00E67E72">
            <w:pPr>
              <w:jc w:val="center"/>
              <w:rPr>
                <w:rFonts w:asciiTheme="minorHAnsi" w:hAnsiTheme="minorHAnsi" w:cs="Arial"/>
                <w:color w:val="808080" w:themeColor="background1" w:themeShade="80"/>
                <w:sz w:val="18"/>
                <w:szCs w:val="18"/>
              </w:rPr>
            </w:pPr>
            <w:r w:rsidRPr="006876FF">
              <w:rPr>
                <w:rFonts w:asciiTheme="minorHAnsi" w:hAnsiTheme="minorHAnsi" w:cs="Arial"/>
                <w:sz w:val="18"/>
                <w:szCs w:val="18"/>
              </w:rPr>
              <w:t>3 619,00</w:t>
            </w:r>
          </w:p>
        </w:tc>
        <w:tc>
          <w:tcPr>
            <w:tcW w:w="2122" w:type="dxa"/>
            <w:tcBorders>
              <w:top w:val="single" w:sz="4" w:space="0" w:color="auto"/>
              <w:left w:val="single" w:sz="8" w:space="0" w:color="auto"/>
              <w:bottom w:val="single" w:sz="8" w:space="0" w:color="auto"/>
              <w:right w:val="single" w:sz="8" w:space="0" w:color="auto"/>
            </w:tcBorders>
            <w:vAlign w:val="center"/>
          </w:tcPr>
          <w:p w:rsidR="00BA6E97" w:rsidRPr="001E08B9" w:rsidRDefault="0014051A" w:rsidP="00F03017">
            <w:pPr>
              <w:ind w:left="-208"/>
              <w:jc w:val="center"/>
              <w:rPr>
                <w:rFonts w:asciiTheme="minorHAnsi" w:hAnsiTheme="minorHAnsi" w:cs="Arial"/>
                <w:b/>
                <w:color w:val="808080" w:themeColor="background1" w:themeShade="80"/>
                <w:sz w:val="18"/>
                <w:szCs w:val="18"/>
              </w:rPr>
            </w:pPr>
            <w:r w:rsidRPr="0014051A">
              <w:rPr>
                <w:rFonts w:asciiTheme="minorHAnsi" w:hAnsiTheme="minorHAnsi" w:cs="Arial"/>
                <w:b/>
                <w:sz w:val="18"/>
                <w:szCs w:val="18"/>
              </w:rPr>
              <w:t>3</w:t>
            </w:r>
            <w:r>
              <w:rPr>
                <w:rFonts w:asciiTheme="minorHAnsi" w:hAnsiTheme="minorHAnsi" w:cs="Arial"/>
                <w:b/>
                <w:sz w:val="18"/>
                <w:szCs w:val="18"/>
              </w:rPr>
              <w:t xml:space="preserve"> </w:t>
            </w:r>
            <w:r w:rsidRPr="0014051A">
              <w:rPr>
                <w:rFonts w:asciiTheme="minorHAnsi" w:hAnsiTheme="minorHAnsi" w:cs="Arial"/>
                <w:b/>
                <w:sz w:val="18"/>
                <w:szCs w:val="18"/>
              </w:rPr>
              <w:t>745,00</w:t>
            </w:r>
          </w:p>
        </w:tc>
        <w:tc>
          <w:tcPr>
            <w:tcW w:w="1426" w:type="dxa"/>
            <w:tcBorders>
              <w:top w:val="single" w:sz="4" w:space="0" w:color="auto"/>
              <w:left w:val="single" w:sz="8" w:space="0" w:color="auto"/>
              <w:bottom w:val="single" w:sz="8" w:space="0" w:color="auto"/>
              <w:right w:val="single" w:sz="8" w:space="0" w:color="auto"/>
            </w:tcBorders>
            <w:vAlign w:val="center"/>
          </w:tcPr>
          <w:p w:rsidR="00BA6E97" w:rsidRPr="0011090E" w:rsidRDefault="006876FF" w:rsidP="00E67E72">
            <w:pPr>
              <w:jc w:val="center"/>
              <w:rPr>
                <w:rFonts w:asciiTheme="minorHAnsi" w:hAnsiTheme="minorHAnsi" w:cs="Arial"/>
                <w:color w:val="808080" w:themeColor="background1" w:themeShade="80"/>
                <w:sz w:val="18"/>
                <w:szCs w:val="18"/>
              </w:rPr>
            </w:pPr>
            <w:r w:rsidRPr="0011090E">
              <w:rPr>
                <w:rFonts w:asciiTheme="minorHAnsi" w:hAnsiTheme="minorHAnsi" w:cs="Arial"/>
                <w:sz w:val="18"/>
                <w:szCs w:val="18"/>
              </w:rPr>
              <w:t>1 006</w:t>
            </w:r>
          </w:p>
        </w:tc>
        <w:tc>
          <w:tcPr>
            <w:tcW w:w="1417" w:type="dxa"/>
            <w:tcBorders>
              <w:top w:val="single" w:sz="4" w:space="0" w:color="auto"/>
              <w:left w:val="single" w:sz="8" w:space="0" w:color="auto"/>
              <w:bottom w:val="single" w:sz="8" w:space="0" w:color="auto"/>
              <w:right w:val="single" w:sz="4" w:space="0" w:color="auto"/>
            </w:tcBorders>
            <w:vAlign w:val="center"/>
          </w:tcPr>
          <w:p w:rsidR="00BA6E97" w:rsidRPr="001E08B9" w:rsidRDefault="002008CD" w:rsidP="00E67E72">
            <w:pPr>
              <w:jc w:val="center"/>
              <w:rPr>
                <w:rFonts w:asciiTheme="minorHAnsi" w:hAnsiTheme="minorHAnsi" w:cs="Arial"/>
                <w:b/>
                <w:color w:val="808080" w:themeColor="background1" w:themeShade="80"/>
                <w:sz w:val="18"/>
                <w:szCs w:val="18"/>
              </w:rPr>
            </w:pPr>
            <w:r w:rsidRPr="002008CD">
              <w:rPr>
                <w:rFonts w:asciiTheme="minorHAnsi" w:hAnsiTheme="minorHAnsi" w:cs="Arial"/>
                <w:b/>
                <w:sz w:val="18"/>
                <w:szCs w:val="18"/>
              </w:rPr>
              <w:t>1</w:t>
            </w:r>
            <w:r>
              <w:rPr>
                <w:rFonts w:asciiTheme="minorHAnsi" w:hAnsiTheme="minorHAnsi" w:cs="Arial"/>
                <w:b/>
                <w:sz w:val="18"/>
                <w:szCs w:val="18"/>
              </w:rPr>
              <w:t xml:space="preserve"> </w:t>
            </w:r>
            <w:r w:rsidRPr="002008CD">
              <w:rPr>
                <w:rFonts w:asciiTheme="minorHAnsi" w:hAnsiTheme="minorHAnsi" w:cs="Arial"/>
                <w:b/>
                <w:sz w:val="18"/>
                <w:szCs w:val="18"/>
              </w:rPr>
              <w:t>011</w:t>
            </w:r>
          </w:p>
        </w:tc>
        <w:tc>
          <w:tcPr>
            <w:tcW w:w="1418" w:type="dxa"/>
            <w:tcBorders>
              <w:top w:val="single" w:sz="4" w:space="0" w:color="auto"/>
              <w:left w:val="nil"/>
              <w:bottom w:val="single" w:sz="8" w:space="0" w:color="auto"/>
              <w:right w:val="single" w:sz="8" w:space="0" w:color="auto"/>
            </w:tcBorders>
            <w:vAlign w:val="center"/>
          </w:tcPr>
          <w:p w:rsidR="00BA6E97" w:rsidRPr="006876FF" w:rsidRDefault="002008CD" w:rsidP="00C24CCC">
            <w:pPr>
              <w:jc w:val="center"/>
              <w:rPr>
                <w:rFonts w:asciiTheme="minorHAnsi" w:hAnsiTheme="minorHAnsi" w:cs="Arial"/>
                <w:color w:val="C00000"/>
                <w:sz w:val="18"/>
                <w:szCs w:val="18"/>
              </w:rPr>
            </w:pPr>
            <w:r>
              <w:rPr>
                <w:rFonts w:asciiTheme="minorHAnsi" w:hAnsiTheme="minorHAnsi" w:cs="Arial"/>
                <w:sz w:val="18"/>
                <w:szCs w:val="18"/>
              </w:rPr>
              <w:t>neu</w:t>
            </w:r>
            <w:r w:rsidR="00C24CCC">
              <w:rPr>
                <w:rFonts w:asciiTheme="minorHAnsi" w:hAnsiTheme="minorHAnsi" w:cs="Arial"/>
                <w:sz w:val="18"/>
                <w:szCs w:val="18"/>
              </w:rPr>
              <w:t>veden</w:t>
            </w:r>
          </w:p>
        </w:tc>
      </w:tr>
      <w:tr w:rsidR="00BA6E97" w:rsidRPr="008262CC" w:rsidTr="006C6502">
        <w:trPr>
          <w:trHeight w:val="440"/>
          <w:jc w:val="center"/>
        </w:trPr>
        <w:tc>
          <w:tcPr>
            <w:tcW w:w="2268" w:type="dxa"/>
            <w:tcBorders>
              <w:top w:val="single" w:sz="8" w:space="0" w:color="auto"/>
              <w:left w:val="single" w:sz="8" w:space="0" w:color="auto"/>
              <w:bottom w:val="single" w:sz="8" w:space="0" w:color="auto"/>
              <w:right w:val="single" w:sz="12" w:space="0" w:color="auto"/>
            </w:tcBorders>
            <w:vAlign w:val="center"/>
            <w:hideMark/>
          </w:tcPr>
          <w:p w:rsidR="00BA6E97" w:rsidRPr="008262CC" w:rsidRDefault="00BA6E97" w:rsidP="00766B9B">
            <w:pPr>
              <w:rPr>
                <w:rFonts w:asciiTheme="minorHAnsi" w:hAnsiTheme="minorHAnsi" w:cs="Arial"/>
                <w:color w:val="000000"/>
                <w:sz w:val="18"/>
                <w:szCs w:val="18"/>
              </w:rPr>
            </w:pPr>
            <w:r>
              <w:rPr>
                <w:rFonts w:asciiTheme="minorHAnsi" w:hAnsiTheme="minorHAnsi" w:cs="Arial"/>
                <w:color w:val="000000"/>
                <w:sz w:val="18"/>
                <w:szCs w:val="18"/>
              </w:rPr>
              <w:t xml:space="preserve">Vítkovice-výzkum a vývoj-technické aplikace a.s. </w:t>
            </w:r>
            <w:r w:rsidRPr="008262CC">
              <w:rPr>
                <w:rFonts w:asciiTheme="minorHAnsi" w:hAnsiTheme="minorHAnsi" w:cs="Arial"/>
                <w:color w:val="000000"/>
                <w:sz w:val="18"/>
                <w:szCs w:val="18"/>
              </w:rPr>
              <w:t xml:space="preserve">         </w:t>
            </w:r>
          </w:p>
        </w:tc>
        <w:tc>
          <w:tcPr>
            <w:tcW w:w="1985" w:type="dxa"/>
            <w:tcBorders>
              <w:top w:val="single" w:sz="8" w:space="0" w:color="auto"/>
              <w:left w:val="single" w:sz="12" w:space="0" w:color="auto"/>
              <w:bottom w:val="single" w:sz="8" w:space="0" w:color="auto"/>
              <w:right w:val="single" w:sz="8" w:space="0" w:color="auto"/>
            </w:tcBorders>
            <w:vAlign w:val="center"/>
          </w:tcPr>
          <w:p w:rsidR="00BA6E97" w:rsidRPr="006876FF" w:rsidRDefault="006876FF" w:rsidP="00E67E72">
            <w:pPr>
              <w:jc w:val="center"/>
              <w:rPr>
                <w:rFonts w:asciiTheme="minorHAnsi" w:hAnsiTheme="minorHAnsi" w:cs="Arial"/>
                <w:color w:val="808080" w:themeColor="background1" w:themeShade="80"/>
                <w:sz w:val="18"/>
                <w:szCs w:val="18"/>
              </w:rPr>
            </w:pPr>
            <w:r w:rsidRPr="006876FF">
              <w:rPr>
                <w:rFonts w:asciiTheme="minorHAnsi" w:hAnsiTheme="minorHAnsi" w:cs="Arial"/>
                <w:sz w:val="18"/>
                <w:szCs w:val="18"/>
              </w:rPr>
              <w:t>49</w:t>
            </w:r>
            <w:r w:rsidR="00C20CF2">
              <w:rPr>
                <w:rFonts w:asciiTheme="minorHAnsi" w:hAnsiTheme="minorHAnsi" w:cs="Arial"/>
                <w:sz w:val="18"/>
                <w:szCs w:val="18"/>
              </w:rPr>
              <w:t>,00</w:t>
            </w:r>
          </w:p>
        </w:tc>
        <w:tc>
          <w:tcPr>
            <w:tcW w:w="2122" w:type="dxa"/>
            <w:tcBorders>
              <w:top w:val="single" w:sz="8" w:space="0" w:color="auto"/>
              <w:left w:val="single" w:sz="8" w:space="0" w:color="auto"/>
              <w:bottom w:val="single" w:sz="8" w:space="0" w:color="auto"/>
              <w:right w:val="single" w:sz="8" w:space="0" w:color="auto"/>
            </w:tcBorders>
            <w:vAlign w:val="center"/>
          </w:tcPr>
          <w:p w:rsidR="00BA6E97" w:rsidRPr="00597423" w:rsidRDefault="00597423" w:rsidP="00E67E72">
            <w:pPr>
              <w:ind w:left="-208"/>
              <w:jc w:val="center"/>
              <w:rPr>
                <w:rFonts w:asciiTheme="minorHAnsi" w:hAnsiTheme="minorHAnsi" w:cs="Arial"/>
                <w:b/>
                <w:sz w:val="18"/>
                <w:szCs w:val="18"/>
              </w:rPr>
            </w:pPr>
            <w:r w:rsidRPr="00597423">
              <w:rPr>
                <w:rFonts w:asciiTheme="minorHAnsi" w:hAnsiTheme="minorHAnsi" w:cs="Arial"/>
                <w:b/>
                <w:sz w:val="18"/>
                <w:szCs w:val="18"/>
              </w:rPr>
              <w:t>50</w:t>
            </w:r>
            <w:r w:rsidR="00C20CF2">
              <w:rPr>
                <w:rFonts w:asciiTheme="minorHAnsi" w:hAnsiTheme="minorHAnsi" w:cs="Arial"/>
                <w:b/>
                <w:sz w:val="18"/>
                <w:szCs w:val="18"/>
              </w:rPr>
              <w:t>,00</w:t>
            </w:r>
          </w:p>
        </w:tc>
        <w:tc>
          <w:tcPr>
            <w:tcW w:w="1426" w:type="dxa"/>
            <w:tcBorders>
              <w:top w:val="single" w:sz="8" w:space="0" w:color="auto"/>
              <w:left w:val="single" w:sz="8" w:space="0" w:color="auto"/>
              <w:bottom w:val="single" w:sz="8" w:space="0" w:color="auto"/>
              <w:right w:val="single" w:sz="8" w:space="0" w:color="auto"/>
            </w:tcBorders>
            <w:vAlign w:val="center"/>
          </w:tcPr>
          <w:p w:rsidR="00BA6E97" w:rsidRPr="00597423" w:rsidRDefault="006876FF" w:rsidP="00E67E72">
            <w:pPr>
              <w:jc w:val="center"/>
              <w:rPr>
                <w:rFonts w:asciiTheme="minorHAnsi" w:hAnsiTheme="minorHAnsi" w:cs="Arial"/>
                <w:sz w:val="18"/>
                <w:szCs w:val="18"/>
              </w:rPr>
            </w:pPr>
            <w:r w:rsidRPr="00597423">
              <w:rPr>
                <w:rFonts w:asciiTheme="minorHAnsi" w:hAnsiTheme="minorHAnsi" w:cs="Arial"/>
                <w:sz w:val="18"/>
                <w:szCs w:val="18"/>
              </w:rPr>
              <w:t>6</w:t>
            </w:r>
          </w:p>
        </w:tc>
        <w:tc>
          <w:tcPr>
            <w:tcW w:w="1417" w:type="dxa"/>
            <w:tcBorders>
              <w:top w:val="single" w:sz="8" w:space="0" w:color="auto"/>
              <w:left w:val="single" w:sz="8" w:space="0" w:color="auto"/>
              <w:bottom w:val="single" w:sz="8" w:space="0" w:color="auto"/>
              <w:right w:val="single" w:sz="4" w:space="0" w:color="auto"/>
            </w:tcBorders>
            <w:vAlign w:val="center"/>
          </w:tcPr>
          <w:p w:rsidR="00BA6E97" w:rsidRPr="00597423" w:rsidRDefault="00B12D1C" w:rsidP="00E67E72">
            <w:pPr>
              <w:jc w:val="center"/>
              <w:rPr>
                <w:rFonts w:asciiTheme="minorHAnsi" w:hAnsiTheme="minorHAnsi" w:cs="Arial"/>
                <w:b/>
                <w:sz w:val="18"/>
                <w:szCs w:val="18"/>
              </w:rPr>
            </w:pPr>
            <w:r w:rsidRPr="00597423">
              <w:rPr>
                <w:rFonts w:asciiTheme="minorHAnsi" w:hAnsiTheme="minorHAnsi" w:cs="Arial"/>
                <w:b/>
                <w:sz w:val="18"/>
                <w:szCs w:val="18"/>
              </w:rPr>
              <w:t>6</w:t>
            </w:r>
          </w:p>
        </w:tc>
        <w:tc>
          <w:tcPr>
            <w:tcW w:w="1418" w:type="dxa"/>
            <w:tcBorders>
              <w:top w:val="single" w:sz="8" w:space="0" w:color="auto"/>
              <w:left w:val="nil"/>
              <w:bottom w:val="single" w:sz="8" w:space="0" w:color="auto"/>
              <w:right w:val="single" w:sz="8" w:space="0" w:color="auto"/>
            </w:tcBorders>
            <w:vAlign w:val="center"/>
            <w:hideMark/>
          </w:tcPr>
          <w:p w:rsidR="00BA6E97" w:rsidRPr="00597423" w:rsidRDefault="00981E3B" w:rsidP="00E67E72">
            <w:pPr>
              <w:jc w:val="center"/>
              <w:rPr>
                <w:rFonts w:asciiTheme="minorHAnsi" w:hAnsiTheme="minorHAnsi" w:cs="Arial"/>
                <w:sz w:val="18"/>
                <w:szCs w:val="18"/>
              </w:rPr>
            </w:pPr>
            <w:r w:rsidRPr="00597423">
              <w:rPr>
                <w:rFonts w:asciiTheme="minorHAnsi" w:hAnsiTheme="minorHAnsi" w:cs="Arial"/>
                <w:sz w:val="18"/>
                <w:szCs w:val="18"/>
              </w:rPr>
              <w:t>26</w:t>
            </w:r>
          </w:p>
        </w:tc>
      </w:tr>
      <w:tr w:rsidR="006C6502" w:rsidRPr="008262CC" w:rsidTr="006876FF">
        <w:trPr>
          <w:trHeight w:val="440"/>
          <w:jc w:val="center"/>
        </w:trPr>
        <w:tc>
          <w:tcPr>
            <w:tcW w:w="2268" w:type="dxa"/>
            <w:tcBorders>
              <w:top w:val="single" w:sz="8" w:space="0" w:color="auto"/>
              <w:left w:val="single" w:sz="8" w:space="0" w:color="auto"/>
              <w:bottom w:val="single" w:sz="12" w:space="0" w:color="auto"/>
              <w:right w:val="single" w:sz="12" w:space="0" w:color="auto"/>
            </w:tcBorders>
            <w:vAlign w:val="center"/>
          </w:tcPr>
          <w:p w:rsidR="006C6502" w:rsidRDefault="006C6502" w:rsidP="00766B9B">
            <w:pPr>
              <w:rPr>
                <w:rFonts w:asciiTheme="minorHAnsi" w:hAnsiTheme="minorHAnsi" w:cs="Arial"/>
                <w:color w:val="000000"/>
                <w:sz w:val="18"/>
                <w:szCs w:val="18"/>
              </w:rPr>
            </w:pPr>
            <w:r>
              <w:rPr>
                <w:rFonts w:asciiTheme="minorHAnsi" w:hAnsiTheme="minorHAnsi" w:cs="Arial"/>
                <w:color w:val="000000"/>
                <w:sz w:val="18"/>
                <w:szCs w:val="18"/>
              </w:rPr>
              <w:t>XZB (</w:t>
            </w:r>
            <w:proofErr w:type="spellStart"/>
            <w:r>
              <w:rPr>
                <w:rFonts w:asciiTheme="minorHAnsi" w:hAnsiTheme="minorHAnsi" w:cs="Arial"/>
                <w:color w:val="000000"/>
                <w:sz w:val="18"/>
                <w:szCs w:val="18"/>
              </w:rPr>
              <w:t>Europe</w:t>
            </w:r>
            <w:proofErr w:type="spellEnd"/>
            <w:r>
              <w:rPr>
                <w:rFonts w:asciiTheme="minorHAnsi" w:hAnsiTheme="minorHAnsi" w:cs="Arial"/>
                <w:color w:val="000000"/>
                <w:sz w:val="18"/>
                <w:szCs w:val="18"/>
              </w:rPr>
              <w:t xml:space="preserve">) s. r. o. </w:t>
            </w:r>
          </w:p>
        </w:tc>
        <w:tc>
          <w:tcPr>
            <w:tcW w:w="1985" w:type="dxa"/>
            <w:tcBorders>
              <w:top w:val="single" w:sz="8" w:space="0" w:color="auto"/>
              <w:left w:val="single" w:sz="12" w:space="0" w:color="auto"/>
              <w:bottom w:val="single" w:sz="12" w:space="0" w:color="auto"/>
              <w:right w:val="single" w:sz="8" w:space="0" w:color="auto"/>
            </w:tcBorders>
            <w:vAlign w:val="center"/>
          </w:tcPr>
          <w:p w:rsidR="006C6502" w:rsidRPr="006876FF" w:rsidRDefault="006C6502" w:rsidP="00E67E72">
            <w:pPr>
              <w:jc w:val="center"/>
              <w:rPr>
                <w:rFonts w:asciiTheme="minorHAnsi" w:hAnsiTheme="minorHAnsi" w:cs="Arial"/>
                <w:sz w:val="18"/>
                <w:szCs w:val="18"/>
              </w:rPr>
            </w:pPr>
            <w:r>
              <w:rPr>
                <w:rFonts w:asciiTheme="minorHAnsi" w:hAnsiTheme="minorHAnsi" w:cs="Arial"/>
                <w:sz w:val="18"/>
                <w:szCs w:val="18"/>
              </w:rPr>
              <w:t>0,00</w:t>
            </w:r>
          </w:p>
        </w:tc>
        <w:tc>
          <w:tcPr>
            <w:tcW w:w="2122" w:type="dxa"/>
            <w:tcBorders>
              <w:top w:val="single" w:sz="8" w:space="0" w:color="auto"/>
              <w:left w:val="single" w:sz="8" w:space="0" w:color="auto"/>
              <w:bottom w:val="single" w:sz="12" w:space="0" w:color="auto"/>
              <w:right w:val="single" w:sz="8" w:space="0" w:color="auto"/>
            </w:tcBorders>
            <w:vAlign w:val="center"/>
          </w:tcPr>
          <w:p w:rsidR="006C6502" w:rsidRPr="00A36631" w:rsidRDefault="006C6502" w:rsidP="00E67E72">
            <w:pPr>
              <w:ind w:left="-208"/>
              <w:jc w:val="center"/>
              <w:rPr>
                <w:rFonts w:asciiTheme="minorHAnsi" w:hAnsiTheme="minorHAnsi" w:cs="Arial"/>
                <w:b/>
                <w:color w:val="808080" w:themeColor="background1" w:themeShade="80"/>
                <w:sz w:val="18"/>
                <w:szCs w:val="18"/>
              </w:rPr>
            </w:pPr>
            <w:r w:rsidRPr="00A36631">
              <w:rPr>
                <w:rFonts w:asciiTheme="minorHAnsi" w:hAnsiTheme="minorHAnsi" w:cs="Arial"/>
                <w:b/>
                <w:sz w:val="18"/>
                <w:szCs w:val="18"/>
              </w:rPr>
              <w:t>8,660</w:t>
            </w:r>
          </w:p>
        </w:tc>
        <w:tc>
          <w:tcPr>
            <w:tcW w:w="1426" w:type="dxa"/>
            <w:tcBorders>
              <w:top w:val="single" w:sz="8" w:space="0" w:color="auto"/>
              <w:left w:val="single" w:sz="8" w:space="0" w:color="auto"/>
              <w:bottom w:val="single" w:sz="12" w:space="0" w:color="auto"/>
              <w:right w:val="single" w:sz="8" w:space="0" w:color="auto"/>
            </w:tcBorders>
            <w:vAlign w:val="center"/>
          </w:tcPr>
          <w:p w:rsidR="006C6502" w:rsidRPr="0011090E" w:rsidRDefault="00A36631" w:rsidP="00E67E72">
            <w:pPr>
              <w:jc w:val="center"/>
              <w:rPr>
                <w:rFonts w:asciiTheme="minorHAnsi" w:hAnsiTheme="minorHAnsi" w:cs="Arial"/>
                <w:sz w:val="18"/>
                <w:szCs w:val="18"/>
              </w:rPr>
            </w:pPr>
            <w:r>
              <w:rPr>
                <w:rFonts w:asciiTheme="minorHAnsi" w:hAnsiTheme="minorHAnsi" w:cs="Arial"/>
                <w:sz w:val="18"/>
                <w:szCs w:val="18"/>
              </w:rPr>
              <w:t>0</w:t>
            </w:r>
          </w:p>
        </w:tc>
        <w:tc>
          <w:tcPr>
            <w:tcW w:w="1417" w:type="dxa"/>
            <w:tcBorders>
              <w:top w:val="single" w:sz="8" w:space="0" w:color="auto"/>
              <w:left w:val="single" w:sz="8" w:space="0" w:color="auto"/>
              <w:bottom w:val="single" w:sz="12" w:space="0" w:color="auto"/>
              <w:right w:val="single" w:sz="4" w:space="0" w:color="auto"/>
            </w:tcBorders>
            <w:vAlign w:val="center"/>
          </w:tcPr>
          <w:p w:rsidR="006C6502" w:rsidRPr="00A36631" w:rsidRDefault="00A36631" w:rsidP="00E67E72">
            <w:pPr>
              <w:jc w:val="center"/>
              <w:rPr>
                <w:rFonts w:asciiTheme="minorHAnsi" w:hAnsiTheme="minorHAnsi" w:cs="Arial"/>
                <w:b/>
                <w:color w:val="808080" w:themeColor="background1" w:themeShade="80"/>
                <w:sz w:val="18"/>
                <w:szCs w:val="18"/>
              </w:rPr>
            </w:pPr>
            <w:r w:rsidRPr="00A36631">
              <w:rPr>
                <w:rFonts w:asciiTheme="minorHAnsi" w:hAnsiTheme="minorHAnsi" w:cs="Arial"/>
                <w:b/>
                <w:sz w:val="18"/>
                <w:szCs w:val="18"/>
              </w:rPr>
              <w:t>6</w:t>
            </w:r>
          </w:p>
        </w:tc>
        <w:tc>
          <w:tcPr>
            <w:tcW w:w="1418" w:type="dxa"/>
            <w:tcBorders>
              <w:top w:val="single" w:sz="8" w:space="0" w:color="auto"/>
              <w:left w:val="nil"/>
              <w:bottom w:val="single" w:sz="12" w:space="0" w:color="auto"/>
              <w:right w:val="single" w:sz="8" w:space="0" w:color="auto"/>
            </w:tcBorders>
            <w:vAlign w:val="center"/>
          </w:tcPr>
          <w:p w:rsidR="006C6502" w:rsidRPr="006876FF" w:rsidRDefault="00A36631" w:rsidP="00E67E72">
            <w:pPr>
              <w:jc w:val="center"/>
              <w:rPr>
                <w:rFonts w:asciiTheme="minorHAnsi" w:hAnsiTheme="minorHAnsi" w:cs="Arial"/>
                <w:color w:val="C00000"/>
                <w:sz w:val="18"/>
                <w:szCs w:val="18"/>
              </w:rPr>
            </w:pPr>
            <w:r w:rsidRPr="00A36631">
              <w:rPr>
                <w:rFonts w:asciiTheme="minorHAnsi" w:hAnsiTheme="minorHAnsi" w:cs="Arial"/>
                <w:sz w:val="18"/>
                <w:szCs w:val="18"/>
              </w:rPr>
              <w:t>50</w:t>
            </w:r>
          </w:p>
        </w:tc>
      </w:tr>
      <w:tr w:rsidR="00BA6E97" w:rsidRPr="00DA1D3B" w:rsidTr="00BA6E97">
        <w:trPr>
          <w:trHeight w:val="315"/>
          <w:jc w:val="center"/>
        </w:trPr>
        <w:tc>
          <w:tcPr>
            <w:tcW w:w="2268" w:type="dxa"/>
            <w:tcBorders>
              <w:top w:val="single" w:sz="12" w:space="0" w:color="auto"/>
              <w:left w:val="single" w:sz="8" w:space="0" w:color="auto"/>
              <w:bottom w:val="single" w:sz="8" w:space="0" w:color="auto"/>
              <w:right w:val="single" w:sz="12" w:space="0" w:color="auto"/>
            </w:tcBorders>
            <w:shd w:val="clear" w:color="auto" w:fill="D9D9D9"/>
            <w:vAlign w:val="center"/>
            <w:hideMark/>
          </w:tcPr>
          <w:p w:rsidR="00BA6E97" w:rsidRPr="008262CC" w:rsidRDefault="00BA6E97" w:rsidP="00766B9B">
            <w:pPr>
              <w:jc w:val="center"/>
              <w:rPr>
                <w:rFonts w:asciiTheme="minorHAnsi" w:hAnsiTheme="minorHAnsi" w:cs="Arial"/>
                <w:b/>
                <w:bCs/>
                <w:color w:val="000000"/>
                <w:sz w:val="18"/>
                <w:szCs w:val="18"/>
              </w:rPr>
            </w:pPr>
            <w:r w:rsidRPr="008262CC">
              <w:rPr>
                <w:rFonts w:asciiTheme="minorHAnsi" w:hAnsiTheme="minorHAnsi" w:cs="Arial"/>
                <w:b/>
                <w:bCs/>
                <w:color w:val="000000"/>
                <w:sz w:val="18"/>
                <w:szCs w:val="18"/>
              </w:rPr>
              <w:t>CELKEM</w:t>
            </w:r>
          </w:p>
        </w:tc>
        <w:tc>
          <w:tcPr>
            <w:tcW w:w="1985" w:type="dxa"/>
            <w:tcBorders>
              <w:top w:val="single" w:sz="12" w:space="0" w:color="auto"/>
              <w:left w:val="single" w:sz="12" w:space="0" w:color="auto"/>
              <w:bottom w:val="single" w:sz="8" w:space="0" w:color="auto"/>
              <w:right w:val="single" w:sz="8" w:space="0" w:color="auto"/>
            </w:tcBorders>
            <w:shd w:val="clear" w:color="auto" w:fill="D9D9D9"/>
            <w:vAlign w:val="center"/>
          </w:tcPr>
          <w:p w:rsidR="00BA6E97" w:rsidRPr="006876FF" w:rsidRDefault="006876FF" w:rsidP="00E67E72">
            <w:pPr>
              <w:jc w:val="center"/>
              <w:rPr>
                <w:rFonts w:asciiTheme="minorHAnsi" w:hAnsiTheme="minorHAnsi" w:cs="Arial"/>
                <w:bCs/>
                <w:color w:val="808080" w:themeColor="background1" w:themeShade="80"/>
                <w:sz w:val="18"/>
                <w:szCs w:val="18"/>
              </w:rPr>
            </w:pPr>
            <w:r w:rsidRPr="006876FF">
              <w:rPr>
                <w:rFonts w:asciiTheme="minorHAnsi" w:hAnsiTheme="minorHAnsi" w:cs="Arial"/>
                <w:bCs/>
                <w:sz w:val="18"/>
                <w:szCs w:val="18"/>
              </w:rPr>
              <w:t>13 766,29</w:t>
            </w:r>
          </w:p>
        </w:tc>
        <w:tc>
          <w:tcPr>
            <w:tcW w:w="2122" w:type="dxa"/>
            <w:tcBorders>
              <w:top w:val="single" w:sz="12" w:space="0" w:color="auto"/>
              <w:left w:val="single" w:sz="8" w:space="0" w:color="auto"/>
              <w:bottom w:val="single" w:sz="8" w:space="0" w:color="auto"/>
              <w:right w:val="single" w:sz="8" w:space="0" w:color="auto"/>
            </w:tcBorders>
            <w:shd w:val="clear" w:color="auto" w:fill="D9D9D9"/>
            <w:vAlign w:val="center"/>
          </w:tcPr>
          <w:p w:rsidR="00BA6E97" w:rsidRPr="00B12D1C" w:rsidRDefault="00B12D1C" w:rsidP="002445F5">
            <w:pPr>
              <w:ind w:left="-208"/>
              <w:jc w:val="center"/>
              <w:rPr>
                <w:rFonts w:asciiTheme="minorHAnsi" w:hAnsiTheme="minorHAnsi" w:cs="Arial"/>
                <w:b/>
                <w:bCs/>
                <w:color w:val="808080" w:themeColor="background1" w:themeShade="80"/>
                <w:sz w:val="18"/>
                <w:szCs w:val="18"/>
              </w:rPr>
            </w:pPr>
            <w:r w:rsidRPr="00B12D1C">
              <w:rPr>
                <w:rFonts w:asciiTheme="minorHAnsi" w:hAnsiTheme="minorHAnsi" w:cs="Arial"/>
                <w:b/>
                <w:bCs/>
                <w:sz w:val="18"/>
                <w:szCs w:val="18"/>
              </w:rPr>
              <w:t>14 25</w:t>
            </w:r>
            <w:r w:rsidR="002445F5">
              <w:rPr>
                <w:rFonts w:asciiTheme="minorHAnsi" w:hAnsiTheme="minorHAnsi" w:cs="Arial"/>
                <w:b/>
                <w:bCs/>
                <w:sz w:val="18"/>
                <w:szCs w:val="18"/>
              </w:rPr>
              <w:t>1</w:t>
            </w:r>
            <w:r w:rsidRPr="00B12D1C">
              <w:rPr>
                <w:rFonts w:asciiTheme="minorHAnsi" w:hAnsiTheme="minorHAnsi" w:cs="Arial"/>
                <w:b/>
                <w:bCs/>
                <w:sz w:val="18"/>
                <w:szCs w:val="18"/>
              </w:rPr>
              <w:t>,42</w:t>
            </w:r>
          </w:p>
        </w:tc>
        <w:tc>
          <w:tcPr>
            <w:tcW w:w="1426" w:type="dxa"/>
            <w:tcBorders>
              <w:top w:val="single" w:sz="12" w:space="0" w:color="auto"/>
              <w:left w:val="single" w:sz="8" w:space="0" w:color="auto"/>
              <w:bottom w:val="single" w:sz="8" w:space="0" w:color="auto"/>
              <w:right w:val="single" w:sz="8" w:space="0" w:color="auto"/>
            </w:tcBorders>
            <w:shd w:val="clear" w:color="auto" w:fill="D9D9D9"/>
            <w:vAlign w:val="center"/>
          </w:tcPr>
          <w:p w:rsidR="00BA6E97" w:rsidRPr="0011090E" w:rsidRDefault="006876FF" w:rsidP="00E86D3B">
            <w:pPr>
              <w:jc w:val="center"/>
              <w:rPr>
                <w:rFonts w:asciiTheme="minorHAnsi" w:hAnsiTheme="minorHAnsi" w:cs="Arial"/>
                <w:bCs/>
                <w:color w:val="808080" w:themeColor="background1" w:themeShade="80"/>
                <w:sz w:val="18"/>
                <w:szCs w:val="18"/>
              </w:rPr>
            </w:pPr>
            <w:r w:rsidRPr="0011090E">
              <w:rPr>
                <w:rFonts w:asciiTheme="minorHAnsi" w:hAnsiTheme="minorHAnsi" w:cs="Arial"/>
                <w:bCs/>
                <w:sz w:val="18"/>
                <w:szCs w:val="18"/>
              </w:rPr>
              <w:t>4 152</w:t>
            </w:r>
          </w:p>
        </w:tc>
        <w:tc>
          <w:tcPr>
            <w:tcW w:w="1417" w:type="dxa"/>
            <w:tcBorders>
              <w:top w:val="single" w:sz="12" w:space="0" w:color="auto"/>
              <w:left w:val="single" w:sz="8" w:space="0" w:color="auto"/>
              <w:bottom w:val="single" w:sz="8" w:space="0" w:color="auto"/>
              <w:right w:val="single" w:sz="4" w:space="0" w:color="auto"/>
            </w:tcBorders>
            <w:shd w:val="clear" w:color="auto" w:fill="D9D9D9"/>
            <w:vAlign w:val="center"/>
          </w:tcPr>
          <w:p w:rsidR="00BA6E97" w:rsidRPr="001E08B9" w:rsidRDefault="00B12D1C" w:rsidP="00E67E72">
            <w:pPr>
              <w:jc w:val="center"/>
              <w:rPr>
                <w:rFonts w:asciiTheme="minorHAnsi" w:hAnsiTheme="minorHAnsi" w:cs="Arial"/>
                <w:b/>
                <w:bCs/>
                <w:color w:val="808080" w:themeColor="background1" w:themeShade="80"/>
                <w:sz w:val="18"/>
                <w:szCs w:val="18"/>
              </w:rPr>
            </w:pPr>
            <w:r w:rsidRPr="00B12D1C">
              <w:rPr>
                <w:rFonts w:asciiTheme="minorHAnsi" w:hAnsiTheme="minorHAnsi" w:cs="Arial"/>
                <w:b/>
                <w:bCs/>
                <w:sz w:val="18"/>
                <w:szCs w:val="18"/>
              </w:rPr>
              <w:t>4</w:t>
            </w:r>
            <w:r>
              <w:rPr>
                <w:rFonts w:asciiTheme="minorHAnsi" w:hAnsiTheme="minorHAnsi" w:cs="Arial"/>
                <w:b/>
                <w:bCs/>
                <w:sz w:val="18"/>
                <w:szCs w:val="18"/>
              </w:rPr>
              <w:t xml:space="preserve"> </w:t>
            </w:r>
            <w:r w:rsidRPr="00B12D1C">
              <w:rPr>
                <w:rFonts w:asciiTheme="minorHAnsi" w:hAnsiTheme="minorHAnsi" w:cs="Arial"/>
                <w:b/>
                <w:bCs/>
                <w:sz w:val="18"/>
                <w:szCs w:val="18"/>
              </w:rPr>
              <w:t>118</w:t>
            </w:r>
          </w:p>
        </w:tc>
        <w:tc>
          <w:tcPr>
            <w:tcW w:w="1418" w:type="dxa"/>
            <w:tcBorders>
              <w:top w:val="single" w:sz="12" w:space="0" w:color="auto"/>
              <w:left w:val="nil"/>
              <w:bottom w:val="single" w:sz="8" w:space="0" w:color="auto"/>
              <w:right w:val="single" w:sz="8" w:space="0" w:color="auto"/>
            </w:tcBorders>
            <w:shd w:val="clear" w:color="auto" w:fill="D9D9D9"/>
            <w:vAlign w:val="center"/>
          </w:tcPr>
          <w:p w:rsidR="00BA6E97" w:rsidRPr="006876FF" w:rsidRDefault="00597423" w:rsidP="00C75765">
            <w:pPr>
              <w:jc w:val="center"/>
              <w:rPr>
                <w:rFonts w:asciiTheme="minorHAnsi" w:hAnsiTheme="minorHAnsi" w:cs="Arial"/>
                <w:bCs/>
                <w:color w:val="C00000"/>
                <w:sz w:val="18"/>
                <w:szCs w:val="18"/>
              </w:rPr>
            </w:pPr>
            <w:r w:rsidRPr="00597423">
              <w:rPr>
                <w:rFonts w:asciiTheme="minorHAnsi" w:hAnsiTheme="minorHAnsi" w:cs="Arial"/>
                <w:bCs/>
                <w:sz w:val="18"/>
                <w:szCs w:val="18"/>
              </w:rPr>
              <w:t>4 286</w:t>
            </w:r>
          </w:p>
        </w:tc>
      </w:tr>
    </w:tbl>
    <w:p w:rsidR="000F119F" w:rsidRPr="008262CC" w:rsidRDefault="000F119F" w:rsidP="000F119F">
      <w:pPr>
        <w:spacing w:before="60"/>
        <w:jc w:val="both"/>
        <w:rPr>
          <w:rFonts w:asciiTheme="minorHAnsi" w:hAnsiTheme="minorHAnsi" w:cs="Arial"/>
          <w:sz w:val="16"/>
          <w:szCs w:val="16"/>
        </w:rPr>
      </w:pPr>
      <w:r w:rsidRPr="008262CC">
        <w:rPr>
          <w:rFonts w:asciiTheme="minorHAnsi" w:hAnsiTheme="minorHAnsi" w:cs="Arial"/>
          <w:sz w:val="16"/>
          <w:szCs w:val="16"/>
        </w:rPr>
        <w:t>Zdroj: jednotliví investoři</w:t>
      </w:r>
    </w:p>
    <w:p w:rsidR="000F119F" w:rsidRDefault="000F119F" w:rsidP="000F119F">
      <w:pPr>
        <w:jc w:val="both"/>
        <w:rPr>
          <w:rFonts w:asciiTheme="minorHAnsi" w:hAnsiTheme="minorHAnsi" w:cs="Arial"/>
          <w:sz w:val="16"/>
          <w:szCs w:val="16"/>
        </w:rPr>
      </w:pPr>
      <w:r w:rsidRPr="008262CC">
        <w:rPr>
          <w:rFonts w:asciiTheme="minorHAnsi" w:hAnsiTheme="minorHAnsi" w:cs="Arial"/>
          <w:sz w:val="16"/>
          <w:szCs w:val="16"/>
        </w:rPr>
        <w:t xml:space="preserve">* </w:t>
      </w:r>
      <w:r w:rsidRPr="008262CC">
        <w:rPr>
          <w:rFonts w:asciiTheme="minorHAnsi" w:hAnsiTheme="minorHAnsi" w:cs="Arial"/>
          <w:sz w:val="16"/>
          <w:szCs w:val="16"/>
        </w:rPr>
        <w:tab/>
      </w:r>
      <w:r w:rsidR="00AD1700">
        <w:rPr>
          <w:rFonts w:asciiTheme="minorHAnsi" w:hAnsiTheme="minorHAnsi" w:cs="Arial"/>
          <w:sz w:val="16"/>
          <w:szCs w:val="16"/>
        </w:rPr>
        <w:t xml:space="preserve">stav pracovních míst - číslo za lomítkem vyčísluje počet agenturních zaměstnanců z celkového uvedeného počtu </w:t>
      </w:r>
    </w:p>
    <w:p w:rsidR="00AD1700" w:rsidRDefault="002008CD" w:rsidP="000F119F">
      <w:pPr>
        <w:jc w:val="both"/>
        <w:rPr>
          <w:rFonts w:asciiTheme="minorHAnsi" w:hAnsiTheme="minorHAnsi" w:cs="Arial"/>
          <w:sz w:val="16"/>
          <w:szCs w:val="16"/>
        </w:rPr>
      </w:pPr>
      <w:r>
        <w:rPr>
          <w:rFonts w:asciiTheme="minorHAnsi" w:hAnsiTheme="minorHAnsi" w:cs="Arial"/>
          <w:sz w:val="16"/>
          <w:szCs w:val="16"/>
        </w:rPr>
        <w:t>**</w:t>
      </w:r>
      <w:r>
        <w:rPr>
          <w:rFonts w:asciiTheme="minorHAnsi" w:hAnsiTheme="minorHAnsi" w:cs="Arial"/>
          <w:sz w:val="16"/>
          <w:szCs w:val="16"/>
        </w:rPr>
        <w:tab/>
        <w:t xml:space="preserve">předpoklad neuveden, dle zástupce společnosti není plán stanoven - v součtu použit stávající počet zaměstnanců </w:t>
      </w:r>
    </w:p>
    <w:p w:rsidR="006C6502" w:rsidRPr="008262CC" w:rsidRDefault="006C6502" w:rsidP="000F119F">
      <w:pPr>
        <w:jc w:val="both"/>
        <w:rPr>
          <w:rFonts w:asciiTheme="minorHAnsi" w:hAnsiTheme="minorHAnsi" w:cs="Arial"/>
          <w:sz w:val="16"/>
          <w:szCs w:val="16"/>
        </w:rPr>
      </w:pPr>
    </w:p>
    <w:p w:rsidR="00EB471E" w:rsidRPr="008262CC" w:rsidRDefault="00CB67A7" w:rsidP="008A42ED">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strategická </w:t>
      </w:r>
      <w:r w:rsidR="00EB471E" w:rsidRPr="008262CC">
        <w:rPr>
          <w:rFonts w:asciiTheme="minorHAnsi" w:hAnsiTheme="minorHAnsi" w:cs="Arial"/>
          <w:sz w:val="20"/>
          <w:szCs w:val="20"/>
        </w:rPr>
        <w:t xml:space="preserve">průmyslová zóna </w:t>
      </w:r>
      <w:r w:rsidR="00567EFA" w:rsidRPr="008262CC">
        <w:rPr>
          <w:rFonts w:asciiTheme="minorHAnsi" w:hAnsiTheme="minorHAnsi" w:cs="Arial"/>
          <w:sz w:val="20"/>
          <w:szCs w:val="20"/>
        </w:rPr>
        <w:t xml:space="preserve">o rozloze cca 200 ha </w:t>
      </w:r>
      <w:r>
        <w:rPr>
          <w:rFonts w:asciiTheme="minorHAnsi" w:hAnsiTheme="minorHAnsi" w:cs="Arial"/>
          <w:sz w:val="20"/>
          <w:szCs w:val="20"/>
        </w:rPr>
        <w:t>je součástí průmyslového areálu o celkové ploše 292 ha</w:t>
      </w:r>
      <w:r w:rsidR="00A74306">
        <w:rPr>
          <w:rFonts w:asciiTheme="minorHAnsi" w:hAnsiTheme="minorHAnsi" w:cs="Arial"/>
          <w:sz w:val="20"/>
          <w:szCs w:val="20"/>
        </w:rPr>
        <w:t xml:space="preserve">; </w:t>
      </w:r>
      <w:r w:rsidR="00B70FAD">
        <w:rPr>
          <w:rFonts w:asciiTheme="minorHAnsi" w:hAnsiTheme="minorHAnsi" w:cs="Arial"/>
          <w:sz w:val="20"/>
          <w:szCs w:val="20"/>
        </w:rPr>
        <w:t xml:space="preserve">původně byla investičně připravována na základě poptávky společnosti Hyundai Motor </w:t>
      </w:r>
      <w:proofErr w:type="spellStart"/>
      <w:r w:rsidR="00B70FAD">
        <w:rPr>
          <w:rFonts w:asciiTheme="minorHAnsi" w:hAnsiTheme="minorHAnsi" w:cs="Arial"/>
          <w:sz w:val="20"/>
          <w:szCs w:val="20"/>
        </w:rPr>
        <w:t>Company</w:t>
      </w:r>
      <w:proofErr w:type="spellEnd"/>
      <w:r w:rsidR="00B70FAD">
        <w:rPr>
          <w:rFonts w:asciiTheme="minorHAnsi" w:hAnsiTheme="minorHAnsi" w:cs="Arial"/>
          <w:sz w:val="20"/>
          <w:szCs w:val="20"/>
        </w:rPr>
        <w:t>, která se pak rozhodla pro umístění svého závodu v SPZ Nošovice;</w:t>
      </w:r>
      <w:r w:rsidR="00A74306">
        <w:rPr>
          <w:rFonts w:asciiTheme="minorHAnsi" w:hAnsiTheme="minorHAnsi" w:cs="Arial"/>
          <w:sz w:val="20"/>
          <w:szCs w:val="20"/>
        </w:rPr>
        <w:t xml:space="preserve"> </w:t>
      </w:r>
      <w:r w:rsidR="00B70FAD">
        <w:rPr>
          <w:rFonts w:asciiTheme="minorHAnsi" w:hAnsiTheme="minorHAnsi" w:cs="Arial"/>
          <w:sz w:val="20"/>
          <w:szCs w:val="20"/>
        </w:rPr>
        <w:t xml:space="preserve">výstavba technické infrastruktury probíhající zejména v letech 2007 - 2012 ve Strategické průmyslové zóně Ostrava - Mošnov byla podporována z dotačního Programu </w:t>
      </w:r>
      <w:r w:rsidR="00B70FAD">
        <w:rPr>
          <w:rFonts w:asciiTheme="minorHAnsi" w:hAnsiTheme="minorHAnsi" w:cs="Arial"/>
          <w:sz w:val="20"/>
          <w:szCs w:val="20"/>
        </w:rPr>
        <w:br/>
        <w:t xml:space="preserve">na podporu podnikatelských nemovitostí a infrastruktury pod záštitou </w:t>
      </w:r>
      <w:r w:rsidR="00B70FAD" w:rsidRPr="008262CC">
        <w:rPr>
          <w:rFonts w:asciiTheme="minorHAnsi" w:hAnsiTheme="minorHAnsi" w:cs="Arial"/>
          <w:sz w:val="20"/>
          <w:szCs w:val="20"/>
        </w:rPr>
        <w:t>Minis</w:t>
      </w:r>
      <w:r w:rsidR="00B70FAD">
        <w:rPr>
          <w:rFonts w:asciiTheme="minorHAnsi" w:hAnsiTheme="minorHAnsi" w:cs="Arial"/>
          <w:sz w:val="20"/>
          <w:szCs w:val="20"/>
        </w:rPr>
        <w:t>terstva průmyslu a obchodu ČR</w:t>
      </w:r>
      <w:r w:rsidR="004A7F3C">
        <w:rPr>
          <w:rFonts w:asciiTheme="minorHAnsi" w:hAnsiTheme="minorHAnsi" w:cs="Arial"/>
          <w:sz w:val="20"/>
          <w:szCs w:val="20"/>
        </w:rPr>
        <w:t>, zóna je akreditována agenturou CzechInvest</w:t>
      </w:r>
      <w:r w:rsidR="00B70FAD">
        <w:rPr>
          <w:rFonts w:asciiTheme="minorHAnsi" w:hAnsiTheme="minorHAnsi" w:cs="Arial"/>
          <w:sz w:val="20"/>
          <w:szCs w:val="20"/>
        </w:rPr>
        <w:t>;</w:t>
      </w:r>
    </w:p>
    <w:p w:rsidR="00E841EA" w:rsidRDefault="00B70FAD" w:rsidP="0079753E">
      <w:pPr>
        <w:pStyle w:val="Zkladntext"/>
        <w:numPr>
          <w:ilvl w:val="0"/>
          <w:numId w:val="2"/>
        </w:numPr>
        <w:spacing w:before="120" w:after="120"/>
        <w:ind w:left="284" w:hanging="284"/>
        <w:rPr>
          <w:rFonts w:asciiTheme="minorHAnsi" w:hAnsiTheme="minorHAnsi" w:cs="Arial"/>
          <w:sz w:val="20"/>
          <w:szCs w:val="20"/>
        </w:rPr>
      </w:pPr>
      <w:r>
        <w:rPr>
          <w:rFonts w:asciiTheme="minorHAnsi" w:hAnsiTheme="minorHAnsi" w:cs="Arial"/>
          <w:sz w:val="20"/>
          <w:szCs w:val="20"/>
        </w:rPr>
        <w:t xml:space="preserve">díky spojení silniční, železniční a letecké dopravy má zóna velmi dobrou dopravní dostupnost, </w:t>
      </w:r>
      <w:r w:rsidR="0079753E">
        <w:rPr>
          <w:rFonts w:asciiTheme="minorHAnsi" w:hAnsiTheme="minorHAnsi" w:cs="Arial"/>
          <w:sz w:val="20"/>
          <w:szCs w:val="20"/>
        </w:rPr>
        <w:t>která se vyznačuje</w:t>
      </w:r>
      <w:r>
        <w:rPr>
          <w:rFonts w:asciiTheme="minorHAnsi" w:hAnsiTheme="minorHAnsi" w:cs="Arial"/>
          <w:sz w:val="20"/>
          <w:szCs w:val="20"/>
        </w:rPr>
        <w:t xml:space="preserve"> pří</w:t>
      </w:r>
      <w:r w:rsidR="0079753E">
        <w:rPr>
          <w:rFonts w:asciiTheme="minorHAnsi" w:hAnsiTheme="minorHAnsi" w:cs="Arial"/>
          <w:sz w:val="20"/>
          <w:szCs w:val="20"/>
        </w:rPr>
        <w:t>mým napojením na síť Českých drah, silnici D48 a dálnici D1. V</w:t>
      </w:r>
      <w:r w:rsidR="00EB471E" w:rsidRPr="0075231A">
        <w:rPr>
          <w:rFonts w:asciiTheme="minorHAnsi" w:hAnsiTheme="minorHAnsi" w:cs="Arial"/>
          <w:sz w:val="20"/>
          <w:szCs w:val="20"/>
        </w:rPr>
        <w:t xml:space="preserve">olná plocha pro nově příchozí investory činí </w:t>
      </w:r>
      <w:r w:rsidR="0079753E">
        <w:rPr>
          <w:rFonts w:asciiTheme="minorHAnsi" w:hAnsiTheme="minorHAnsi" w:cs="Arial"/>
          <w:sz w:val="20"/>
          <w:szCs w:val="20"/>
        </w:rPr>
        <w:br/>
      </w:r>
      <w:r w:rsidR="00AE63E8" w:rsidRPr="0075231A">
        <w:rPr>
          <w:rFonts w:asciiTheme="minorHAnsi" w:hAnsiTheme="minorHAnsi" w:cs="Arial"/>
          <w:sz w:val="20"/>
          <w:szCs w:val="20"/>
        </w:rPr>
        <w:t xml:space="preserve">ve strategické průmyslové zóně </w:t>
      </w:r>
      <w:r w:rsidR="00BE59DD" w:rsidRPr="0075231A">
        <w:rPr>
          <w:rFonts w:asciiTheme="minorHAnsi" w:hAnsiTheme="minorHAnsi" w:cs="Arial"/>
          <w:sz w:val="20"/>
          <w:szCs w:val="20"/>
        </w:rPr>
        <w:t>5</w:t>
      </w:r>
      <w:r w:rsidR="0079753E">
        <w:rPr>
          <w:rFonts w:asciiTheme="minorHAnsi" w:hAnsiTheme="minorHAnsi" w:cs="Arial"/>
          <w:sz w:val="20"/>
          <w:szCs w:val="20"/>
        </w:rPr>
        <w:t>4</w:t>
      </w:r>
      <w:r w:rsidR="00AE63E8" w:rsidRPr="0075231A">
        <w:rPr>
          <w:rFonts w:asciiTheme="minorHAnsi" w:hAnsiTheme="minorHAnsi" w:cs="Arial"/>
          <w:sz w:val="20"/>
          <w:szCs w:val="20"/>
        </w:rPr>
        <w:t xml:space="preserve"> </w:t>
      </w:r>
      <w:r w:rsidR="00EB471E" w:rsidRPr="0075231A">
        <w:rPr>
          <w:rFonts w:asciiTheme="minorHAnsi" w:hAnsiTheme="minorHAnsi" w:cs="Arial"/>
          <w:sz w:val="20"/>
          <w:szCs w:val="20"/>
        </w:rPr>
        <w:t>ha</w:t>
      </w:r>
      <w:r w:rsidR="00AE63E8" w:rsidRPr="0075231A">
        <w:rPr>
          <w:rFonts w:asciiTheme="minorHAnsi" w:hAnsiTheme="minorHAnsi" w:cs="Arial"/>
          <w:sz w:val="20"/>
          <w:szCs w:val="20"/>
        </w:rPr>
        <w:t>, z toho 5</w:t>
      </w:r>
      <w:r w:rsidR="00BE59DD" w:rsidRPr="0075231A">
        <w:rPr>
          <w:rFonts w:asciiTheme="minorHAnsi" w:hAnsiTheme="minorHAnsi" w:cs="Arial"/>
          <w:sz w:val="20"/>
          <w:szCs w:val="20"/>
        </w:rPr>
        <w:t>0</w:t>
      </w:r>
      <w:r w:rsidR="00AE63E8" w:rsidRPr="0075231A">
        <w:rPr>
          <w:rFonts w:asciiTheme="minorHAnsi" w:hAnsiTheme="minorHAnsi" w:cs="Arial"/>
          <w:sz w:val="20"/>
          <w:szCs w:val="20"/>
        </w:rPr>
        <w:t xml:space="preserve"> ha v sektoru „</w:t>
      </w:r>
      <w:r w:rsidR="00802B4A" w:rsidRPr="0075231A">
        <w:rPr>
          <w:rFonts w:asciiTheme="minorHAnsi" w:hAnsiTheme="minorHAnsi" w:cs="Arial"/>
          <w:sz w:val="20"/>
          <w:szCs w:val="20"/>
        </w:rPr>
        <w:t>K</w:t>
      </w:r>
      <w:r w:rsidR="00AE63E8" w:rsidRPr="0075231A">
        <w:rPr>
          <w:rFonts w:asciiTheme="minorHAnsi" w:hAnsiTheme="minorHAnsi" w:cs="Arial"/>
          <w:sz w:val="20"/>
          <w:szCs w:val="20"/>
        </w:rPr>
        <w:t>“</w:t>
      </w:r>
      <w:r w:rsidR="00BE59DD" w:rsidRPr="0075231A">
        <w:rPr>
          <w:rFonts w:asciiTheme="minorHAnsi" w:hAnsiTheme="minorHAnsi" w:cs="Arial"/>
          <w:sz w:val="20"/>
          <w:szCs w:val="20"/>
        </w:rPr>
        <w:t xml:space="preserve"> a</w:t>
      </w:r>
      <w:r w:rsidR="00AE63E8" w:rsidRPr="0075231A">
        <w:rPr>
          <w:rFonts w:asciiTheme="minorHAnsi" w:hAnsiTheme="minorHAnsi" w:cs="Arial"/>
          <w:sz w:val="20"/>
          <w:szCs w:val="20"/>
        </w:rPr>
        <w:t xml:space="preserve"> </w:t>
      </w:r>
      <w:r w:rsidR="0079753E">
        <w:rPr>
          <w:rFonts w:asciiTheme="minorHAnsi" w:hAnsiTheme="minorHAnsi" w:cs="Arial"/>
          <w:sz w:val="20"/>
          <w:szCs w:val="20"/>
        </w:rPr>
        <w:t>4</w:t>
      </w:r>
      <w:r w:rsidR="00802B4A" w:rsidRPr="0075231A">
        <w:rPr>
          <w:rFonts w:asciiTheme="minorHAnsi" w:hAnsiTheme="minorHAnsi" w:cs="Arial"/>
          <w:sz w:val="20"/>
          <w:szCs w:val="20"/>
        </w:rPr>
        <w:t xml:space="preserve"> ha v sektoru „</w:t>
      </w:r>
      <w:r w:rsidR="00756AFB">
        <w:rPr>
          <w:rFonts w:asciiTheme="minorHAnsi" w:hAnsiTheme="minorHAnsi" w:cs="Arial"/>
          <w:sz w:val="20"/>
          <w:szCs w:val="20"/>
        </w:rPr>
        <w:t>B</w:t>
      </w:r>
      <w:r w:rsidR="00802B4A" w:rsidRPr="0075231A">
        <w:rPr>
          <w:rFonts w:asciiTheme="minorHAnsi" w:hAnsiTheme="minorHAnsi" w:cs="Arial"/>
          <w:sz w:val="20"/>
          <w:szCs w:val="20"/>
        </w:rPr>
        <w:t>“</w:t>
      </w:r>
      <w:r w:rsidR="00C31DEC">
        <w:rPr>
          <w:rFonts w:asciiTheme="minorHAnsi" w:hAnsiTheme="minorHAnsi" w:cs="Arial"/>
          <w:sz w:val="20"/>
          <w:szCs w:val="20"/>
        </w:rPr>
        <w:t xml:space="preserve">; </w:t>
      </w:r>
      <w:r w:rsidR="00C31DEC" w:rsidRPr="00C76F7D">
        <w:rPr>
          <w:rFonts w:asciiTheme="minorHAnsi" w:hAnsiTheme="minorHAnsi" w:cs="Arial"/>
          <w:b/>
          <w:sz w:val="20"/>
          <w:szCs w:val="20"/>
        </w:rPr>
        <w:t xml:space="preserve">výše investovaných prostředků ze strany společností umístěných v lokalitě SPZ </w:t>
      </w:r>
      <w:r w:rsidR="006A7E4A" w:rsidRPr="00C76F7D">
        <w:rPr>
          <w:rFonts w:asciiTheme="minorHAnsi" w:hAnsiTheme="minorHAnsi" w:cs="Arial"/>
          <w:b/>
          <w:sz w:val="20"/>
          <w:szCs w:val="20"/>
        </w:rPr>
        <w:t xml:space="preserve">činila </w:t>
      </w:r>
      <w:r w:rsidR="00A87994" w:rsidRPr="00C76F7D">
        <w:rPr>
          <w:rFonts w:asciiTheme="minorHAnsi" w:hAnsiTheme="minorHAnsi" w:cs="Arial"/>
          <w:b/>
          <w:sz w:val="20"/>
          <w:szCs w:val="20"/>
        </w:rPr>
        <w:t>k </w:t>
      </w:r>
      <w:r w:rsidR="00A74306" w:rsidRPr="00C76F7D">
        <w:rPr>
          <w:rFonts w:asciiTheme="minorHAnsi" w:hAnsiTheme="minorHAnsi" w:cs="Arial"/>
          <w:b/>
          <w:sz w:val="20"/>
          <w:szCs w:val="20"/>
        </w:rPr>
        <w:t>3</w:t>
      </w:r>
      <w:r w:rsidR="0079753E" w:rsidRPr="00C76F7D">
        <w:rPr>
          <w:rFonts w:asciiTheme="minorHAnsi" w:hAnsiTheme="minorHAnsi" w:cs="Arial"/>
          <w:b/>
          <w:sz w:val="20"/>
          <w:szCs w:val="20"/>
        </w:rPr>
        <w:t>0</w:t>
      </w:r>
      <w:r w:rsidR="00A87994" w:rsidRPr="00C76F7D">
        <w:rPr>
          <w:rFonts w:asciiTheme="minorHAnsi" w:hAnsiTheme="minorHAnsi" w:cs="Arial"/>
          <w:b/>
          <w:sz w:val="20"/>
          <w:szCs w:val="20"/>
        </w:rPr>
        <w:t xml:space="preserve">. </w:t>
      </w:r>
      <w:r w:rsidR="0079753E" w:rsidRPr="00C76F7D">
        <w:rPr>
          <w:rFonts w:asciiTheme="minorHAnsi" w:hAnsiTheme="minorHAnsi" w:cs="Arial"/>
          <w:b/>
          <w:sz w:val="20"/>
          <w:szCs w:val="20"/>
        </w:rPr>
        <w:t>6</w:t>
      </w:r>
      <w:r w:rsidR="00A87994" w:rsidRPr="00C76F7D">
        <w:rPr>
          <w:rFonts w:asciiTheme="minorHAnsi" w:hAnsiTheme="minorHAnsi" w:cs="Arial"/>
          <w:b/>
          <w:sz w:val="20"/>
          <w:szCs w:val="20"/>
        </w:rPr>
        <w:t>. 201</w:t>
      </w:r>
      <w:r w:rsidR="0079753E" w:rsidRPr="00C76F7D">
        <w:rPr>
          <w:rFonts w:asciiTheme="minorHAnsi" w:hAnsiTheme="minorHAnsi" w:cs="Arial"/>
          <w:b/>
          <w:sz w:val="20"/>
          <w:szCs w:val="20"/>
        </w:rPr>
        <w:t>9</w:t>
      </w:r>
      <w:r w:rsidR="00A87994" w:rsidRPr="00C76F7D">
        <w:rPr>
          <w:rFonts w:asciiTheme="minorHAnsi" w:hAnsiTheme="minorHAnsi" w:cs="Arial"/>
          <w:b/>
          <w:sz w:val="20"/>
          <w:szCs w:val="20"/>
        </w:rPr>
        <w:t xml:space="preserve"> </w:t>
      </w:r>
      <w:r w:rsidR="00A74306" w:rsidRPr="00C76F7D">
        <w:rPr>
          <w:rFonts w:asciiTheme="minorHAnsi" w:hAnsiTheme="minorHAnsi" w:cs="Arial"/>
          <w:b/>
          <w:sz w:val="20"/>
          <w:szCs w:val="20"/>
        </w:rPr>
        <w:t xml:space="preserve">cca </w:t>
      </w:r>
      <w:r w:rsidR="0079753E" w:rsidRPr="00C76F7D">
        <w:rPr>
          <w:rFonts w:asciiTheme="minorHAnsi" w:hAnsiTheme="minorHAnsi" w:cs="Arial"/>
          <w:b/>
          <w:sz w:val="20"/>
          <w:szCs w:val="20"/>
        </w:rPr>
        <w:t>14,2</w:t>
      </w:r>
      <w:r w:rsidR="00C31DEC" w:rsidRPr="00C76F7D">
        <w:rPr>
          <w:rFonts w:asciiTheme="minorHAnsi" w:hAnsiTheme="minorHAnsi" w:cs="Arial"/>
          <w:b/>
          <w:sz w:val="20"/>
          <w:szCs w:val="20"/>
        </w:rPr>
        <w:t xml:space="preserve"> mld. Kč</w:t>
      </w:r>
      <w:r w:rsidR="00802B4A" w:rsidRPr="00C76F7D">
        <w:rPr>
          <w:rFonts w:asciiTheme="minorHAnsi" w:hAnsiTheme="minorHAnsi" w:cs="Arial"/>
          <w:b/>
          <w:sz w:val="20"/>
          <w:szCs w:val="20"/>
        </w:rPr>
        <w:t xml:space="preserve"> </w:t>
      </w:r>
      <w:r w:rsidR="00C31DEC" w:rsidRPr="00C76F7D">
        <w:rPr>
          <w:rFonts w:asciiTheme="minorHAnsi" w:hAnsiTheme="minorHAnsi" w:cs="Arial"/>
          <w:b/>
          <w:sz w:val="20"/>
          <w:szCs w:val="20"/>
        </w:rPr>
        <w:t xml:space="preserve">a </w:t>
      </w:r>
      <w:r w:rsidR="0079753E" w:rsidRPr="00C76F7D">
        <w:rPr>
          <w:rFonts w:asciiTheme="minorHAnsi" w:hAnsiTheme="minorHAnsi" w:cs="Arial"/>
          <w:b/>
          <w:sz w:val="20"/>
          <w:szCs w:val="20"/>
        </w:rPr>
        <w:t>ke sledovanému datu bylo evidováno 4 118 pracovních pozic</w:t>
      </w:r>
      <w:r w:rsidR="005D325E">
        <w:rPr>
          <w:rFonts w:asciiTheme="minorHAnsi" w:hAnsiTheme="minorHAnsi" w:cs="Arial"/>
          <w:sz w:val="20"/>
          <w:szCs w:val="20"/>
        </w:rPr>
        <w:t xml:space="preserve">; </w:t>
      </w:r>
    </w:p>
    <w:p w:rsidR="00036ABE" w:rsidRDefault="00777C43" w:rsidP="008A42ED">
      <w:pPr>
        <w:pStyle w:val="Zkladntext"/>
        <w:numPr>
          <w:ilvl w:val="0"/>
          <w:numId w:val="2"/>
        </w:numPr>
        <w:spacing w:before="120" w:after="120"/>
        <w:ind w:left="284" w:hanging="284"/>
        <w:rPr>
          <w:rFonts w:asciiTheme="minorHAnsi" w:hAnsiTheme="minorHAnsi" w:cs="Arial"/>
          <w:sz w:val="20"/>
          <w:szCs w:val="20"/>
        </w:rPr>
      </w:pPr>
      <w:r>
        <w:rPr>
          <w:rFonts w:asciiTheme="minorHAnsi" w:hAnsiTheme="minorHAnsi" w:cs="Arial"/>
          <w:sz w:val="20"/>
          <w:szCs w:val="20"/>
        </w:rPr>
        <w:t>součástí průmyslového areálu jsou mimo</w:t>
      </w:r>
      <w:r w:rsidR="00F86C85">
        <w:rPr>
          <w:rFonts w:asciiTheme="minorHAnsi" w:hAnsiTheme="minorHAnsi" w:cs="Arial"/>
          <w:sz w:val="20"/>
          <w:szCs w:val="20"/>
        </w:rPr>
        <w:t xml:space="preserve"> strategické průmyslové zóny </w:t>
      </w:r>
      <w:r>
        <w:rPr>
          <w:rFonts w:asciiTheme="minorHAnsi" w:hAnsiTheme="minorHAnsi" w:cs="Arial"/>
          <w:sz w:val="20"/>
          <w:szCs w:val="20"/>
        </w:rPr>
        <w:t>lokalita</w:t>
      </w:r>
      <w:r w:rsidR="00F86C85">
        <w:rPr>
          <w:rFonts w:asciiTheme="minorHAnsi" w:hAnsiTheme="minorHAnsi" w:cs="Arial"/>
          <w:sz w:val="20"/>
          <w:szCs w:val="20"/>
        </w:rPr>
        <w:t xml:space="preserve"> tzv. obchodně-podnikatelského areálu o rozloze 20 ha </w:t>
      </w:r>
      <w:r w:rsidR="00386299">
        <w:rPr>
          <w:rFonts w:asciiTheme="minorHAnsi" w:hAnsiTheme="minorHAnsi" w:cs="Arial"/>
          <w:sz w:val="20"/>
          <w:szCs w:val="20"/>
        </w:rPr>
        <w:t>(</w:t>
      </w:r>
      <w:r w:rsidR="0096632A" w:rsidRPr="0075231A">
        <w:rPr>
          <w:rFonts w:asciiTheme="minorHAnsi" w:hAnsiTheme="minorHAnsi" w:cs="Arial"/>
          <w:sz w:val="20"/>
          <w:szCs w:val="20"/>
        </w:rPr>
        <w:t>voln</w:t>
      </w:r>
      <w:r w:rsidR="00456DF0">
        <w:rPr>
          <w:rFonts w:asciiTheme="minorHAnsi" w:hAnsiTheme="minorHAnsi" w:cs="Arial"/>
          <w:sz w:val="20"/>
          <w:szCs w:val="20"/>
        </w:rPr>
        <w:t>é</w:t>
      </w:r>
      <w:r w:rsidR="0096632A" w:rsidRPr="0075231A">
        <w:rPr>
          <w:rFonts w:asciiTheme="minorHAnsi" w:hAnsiTheme="minorHAnsi" w:cs="Arial"/>
          <w:sz w:val="20"/>
          <w:szCs w:val="20"/>
        </w:rPr>
        <w:t xml:space="preserve"> ploch</w:t>
      </w:r>
      <w:r w:rsidR="00456DF0">
        <w:rPr>
          <w:rFonts w:asciiTheme="minorHAnsi" w:hAnsiTheme="minorHAnsi" w:cs="Arial"/>
          <w:sz w:val="20"/>
          <w:szCs w:val="20"/>
        </w:rPr>
        <w:t>y</w:t>
      </w:r>
      <w:r w:rsidR="0096632A" w:rsidRPr="0075231A">
        <w:rPr>
          <w:rFonts w:asciiTheme="minorHAnsi" w:hAnsiTheme="minorHAnsi" w:cs="Arial"/>
          <w:sz w:val="20"/>
          <w:szCs w:val="20"/>
        </w:rPr>
        <w:t xml:space="preserve"> </w:t>
      </w:r>
      <w:r w:rsidR="00456DF0">
        <w:rPr>
          <w:rFonts w:asciiTheme="minorHAnsi" w:hAnsiTheme="minorHAnsi" w:cs="Arial"/>
          <w:sz w:val="20"/>
          <w:szCs w:val="20"/>
        </w:rPr>
        <w:t>cca do 1 ha</w:t>
      </w:r>
      <w:r w:rsidR="00386299">
        <w:rPr>
          <w:rFonts w:asciiTheme="minorHAnsi" w:hAnsiTheme="minorHAnsi" w:cs="Arial"/>
          <w:sz w:val="20"/>
          <w:szCs w:val="20"/>
        </w:rPr>
        <w:t>) a lokalit</w:t>
      </w:r>
      <w:r>
        <w:rPr>
          <w:rFonts w:asciiTheme="minorHAnsi" w:hAnsiTheme="minorHAnsi" w:cs="Arial"/>
          <w:sz w:val="20"/>
          <w:szCs w:val="20"/>
        </w:rPr>
        <w:t>a</w:t>
      </w:r>
      <w:r w:rsidR="00386299">
        <w:rPr>
          <w:rFonts w:asciiTheme="minorHAnsi" w:hAnsiTheme="minorHAnsi" w:cs="Arial"/>
          <w:sz w:val="20"/>
          <w:szCs w:val="20"/>
        </w:rPr>
        <w:t xml:space="preserve"> tzv. </w:t>
      </w:r>
      <w:r w:rsidR="0096632A" w:rsidRPr="0075231A">
        <w:rPr>
          <w:rFonts w:asciiTheme="minorHAnsi" w:hAnsiTheme="minorHAnsi" w:cs="Arial"/>
          <w:sz w:val="20"/>
          <w:szCs w:val="20"/>
        </w:rPr>
        <w:t>Mal</w:t>
      </w:r>
      <w:r w:rsidR="00386299">
        <w:rPr>
          <w:rFonts w:asciiTheme="minorHAnsi" w:hAnsiTheme="minorHAnsi" w:cs="Arial"/>
          <w:sz w:val="20"/>
          <w:szCs w:val="20"/>
        </w:rPr>
        <w:t xml:space="preserve">é </w:t>
      </w:r>
      <w:r w:rsidR="0096632A" w:rsidRPr="0075231A">
        <w:rPr>
          <w:rFonts w:asciiTheme="minorHAnsi" w:hAnsiTheme="minorHAnsi" w:cs="Arial"/>
          <w:sz w:val="20"/>
          <w:szCs w:val="20"/>
        </w:rPr>
        <w:t>rozvojov</w:t>
      </w:r>
      <w:r w:rsidR="00386299">
        <w:rPr>
          <w:rFonts w:asciiTheme="minorHAnsi" w:hAnsiTheme="minorHAnsi" w:cs="Arial"/>
          <w:sz w:val="20"/>
          <w:szCs w:val="20"/>
        </w:rPr>
        <w:t>é</w:t>
      </w:r>
      <w:r w:rsidR="0096632A" w:rsidRPr="0075231A">
        <w:rPr>
          <w:rFonts w:asciiTheme="minorHAnsi" w:hAnsiTheme="minorHAnsi" w:cs="Arial"/>
          <w:sz w:val="20"/>
          <w:szCs w:val="20"/>
        </w:rPr>
        <w:t xml:space="preserve"> zón</w:t>
      </w:r>
      <w:r w:rsidR="00386299">
        <w:rPr>
          <w:rFonts w:asciiTheme="minorHAnsi" w:hAnsiTheme="minorHAnsi" w:cs="Arial"/>
          <w:sz w:val="20"/>
          <w:szCs w:val="20"/>
        </w:rPr>
        <w:t>y</w:t>
      </w:r>
      <w:r w:rsidR="0096632A" w:rsidRPr="0075231A">
        <w:rPr>
          <w:rFonts w:asciiTheme="minorHAnsi" w:hAnsiTheme="minorHAnsi" w:cs="Arial"/>
          <w:sz w:val="20"/>
          <w:szCs w:val="20"/>
        </w:rPr>
        <w:t xml:space="preserve"> </w:t>
      </w:r>
      <w:r w:rsidR="00386299">
        <w:rPr>
          <w:rFonts w:asciiTheme="minorHAnsi" w:hAnsiTheme="minorHAnsi" w:cs="Arial"/>
          <w:sz w:val="20"/>
          <w:szCs w:val="20"/>
        </w:rPr>
        <w:t>(</w:t>
      </w:r>
      <w:r w:rsidR="0096632A" w:rsidRPr="0075231A">
        <w:rPr>
          <w:rFonts w:asciiTheme="minorHAnsi" w:hAnsiTheme="minorHAnsi" w:cs="Arial"/>
          <w:sz w:val="20"/>
          <w:szCs w:val="20"/>
        </w:rPr>
        <w:t>volná plocha 32 ha</w:t>
      </w:r>
      <w:r w:rsidR="00386299">
        <w:rPr>
          <w:rFonts w:asciiTheme="minorHAnsi" w:hAnsiTheme="minorHAnsi" w:cs="Arial"/>
          <w:sz w:val="20"/>
          <w:szCs w:val="20"/>
        </w:rPr>
        <w:t xml:space="preserve">), </w:t>
      </w:r>
      <w:r w:rsidR="009130DF">
        <w:rPr>
          <w:rFonts w:asciiTheme="minorHAnsi" w:hAnsiTheme="minorHAnsi" w:cs="Arial"/>
          <w:sz w:val="20"/>
          <w:szCs w:val="20"/>
        </w:rPr>
        <w:br/>
      </w:r>
      <w:r w:rsidR="00425661">
        <w:rPr>
          <w:rFonts w:asciiTheme="minorHAnsi" w:hAnsiTheme="minorHAnsi" w:cs="Arial"/>
          <w:sz w:val="20"/>
          <w:szCs w:val="20"/>
        </w:rPr>
        <w:t xml:space="preserve">pro kterou byla zpracována koncepce inženýrských sítí a dopravní infrastruktury a </w:t>
      </w:r>
      <w:r w:rsidR="00C42202">
        <w:rPr>
          <w:rFonts w:asciiTheme="minorHAnsi" w:hAnsiTheme="minorHAnsi" w:cs="Arial"/>
          <w:sz w:val="20"/>
          <w:szCs w:val="20"/>
        </w:rPr>
        <w:t xml:space="preserve">aktuálně probíhá jednání </w:t>
      </w:r>
      <w:r w:rsidR="009130DF">
        <w:rPr>
          <w:rFonts w:asciiTheme="minorHAnsi" w:hAnsiTheme="minorHAnsi" w:cs="Arial"/>
          <w:sz w:val="20"/>
          <w:szCs w:val="20"/>
        </w:rPr>
        <w:br/>
      </w:r>
      <w:r w:rsidR="00C42202">
        <w:rPr>
          <w:rFonts w:asciiTheme="minorHAnsi" w:hAnsiTheme="minorHAnsi" w:cs="Arial"/>
          <w:sz w:val="20"/>
          <w:szCs w:val="20"/>
        </w:rPr>
        <w:t>o rozšíření o navazující pozemky ve vlastnictví MSK.</w:t>
      </w:r>
    </w:p>
    <w:p w:rsidR="0096632A" w:rsidRPr="0075231A" w:rsidRDefault="00977476" w:rsidP="00036ABE">
      <w:pPr>
        <w:pStyle w:val="Zkladntext"/>
        <w:spacing w:before="120" w:after="120"/>
        <w:rPr>
          <w:rFonts w:asciiTheme="minorHAnsi" w:hAnsiTheme="minorHAnsi" w:cs="Arial"/>
          <w:sz w:val="20"/>
          <w:szCs w:val="20"/>
        </w:rPr>
      </w:pPr>
      <w:r>
        <w:rPr>
          <w:rFonts w:asciiTheme="minorHAnsi" w:hAnsiTheme="minorHAnsi" w:cs="Arial"/>
          <w:sz w:val="20"/>
          <w:szCs w:val="20"/>
        </w:rPr>
        <w:t xml:space="preserve"> </w:t>
      </w:r>
    </w:p>
    <w:p w:rsidR="007962A2" w:rsidRPr="007E3FCA" w:rsidRDefault="007962A2" w:rsidP="00207613">
      <w:pPr>
        <w:spacing w:after="120"/>
        <w:jc w:val="both"/>
        <w:rPr>
          <w:rFonts w:asciiTheme="minorHAnsi" w:hAnsiTheme="minorHAnsi" w:cs="Arial"/>
          <w:b/>
          <w:sz w:val="22"/>
          <w:szCs w:val="22"/>
        </w:rPr>
      </w:pPr>
      <w:r w:rsidRPr="007E3FCA">
        <w:rPr>
          <w:rFonts w:asciiTheme="minorHAnsi" w:hAnsiTheme="minorHAnsi" w:cs="Arial"/>
          <w:b/>
          <w:sz w:val="22"/>
          <w:szCs w:val="22"/>
        </w:rPr>
        <w:t>Investoři</w:t>
      </w:r>
      <w:r w:rsidR="00762D6D" w:rsidRPr="007E3FCA">
        <w:rPr>
          <w:rFonts w:asciiTheme="minorHAnsi" w:hAnsiTheme="minorHAnsi" w:cs="Arial"/>
          <w:b/>
          <w:sz w:val="22"/>
          <w:szCs w:val="22"/>
        </w:rPr>
        <w:t xml:space="preserve"> - významné události:</w:t>
      </w:r>
    </w:p>
    <w:p w:rsidR="00997F53" w:rsidRDefault="003F6B6C" w:rsidP="00A73E31">
      <w:pPr>
        <w:pStyle w:val="Odstavecseseznamem"/>
        <w:numPr>
          <w:ilvl w:val="0"/>
          <w:numId w:val="3"/>
        </w:numPr>
        <w:spacing w:before="120" w:after="120"/>
        <w:ind w:left="284" w:hanging="284"/>
        <w:jc w:val="both"/>
        <w:rPr>
          <w:rFonts w:asciiTheme="minorHAnsi" w:hAnsiTheme="minorHAnsi" w:cs="Arial"/>
          <w:sz w:val="20"/>
          <w:szCs w:val="20"/>
        </w:rPr>
      </w:pPr>
      <w:r w:rsidRPr="00997F53">
        <w:rPr>
          <w:rFonts w:asciiTheme="minorHAnsi" w:hAnsiTheme="minorHAnsi" w:cs="Arial"/>
          <w:b/>
          <w:sz w:val="20"/>
          <w:szCs w:val="20"/>
        </w:rPr>
        <w:t xml:space="preserve">OSTRAVA AIRPORT MULTIMODAL PARK s.r.o. </w:t>
      </w:r>
      <w:r w:rsidR="00D6261F">
        <w:rPr>
          <w:rFonts w:asciiTheme="minorHAnsi" w:hAnsiTheme="minorHAnsi" w:cs="Arial"/>
          <w:sz w:val="20"/>
          <w:szCs w:val="20"/>
        </w:rPr>
        <w:t>-</w:t>
      </w:r>
      <w:r w:rsidR="005549D7" w:rsidRPr="00997F53">
        <w:rPr>
          <w:rFonts w:asciiTheme="minorHAnsi" w:hAnsiTheme="minorHAnsi" w:cs="Arial"/>
          <w:sz w:val="20"/>
          <w:szCs w:val="20"/>
        </w:rPr>
        <w:t xml:space="preserve"> </w:t>
      </w:r>
      <w:r w:rsidR="00D6261F">
        <w:rPr>
          <w:rFonts w:asciiTheme="minorHAnsi" w:hAnsiTheme="minorHAnsi" w:cs="Arial"/>
          <w:sz w:val="20"/>
          <w:szCs w:val="20"/>
        </w:rPr>
        <w:t>společnost úspěšně pokračuje v realizaci projektu</w:t>
      </w:r>
      <w:r w:rsidR="009D56EA" w:rsidRPr="00997F53">
        <w:rPr>
          <w:rFonts w:asciiTheme="minorHAnsi" w:hAnsiTheme="minorHAnsi" w:cs="Arial"/>
          <w:sz w:val="20"/>
          <w:szCs w:val="20"/>
        </w:rPr>
        <w:t xml:space="preserve"> </w:t>
      </w:r>
      <w:r w:rsidR="00D6261F">
        <w:rPr>
          <w:rFonts w:asciiTheme="minorHAnsi" w:hAnsiTheme="minorHAnsi" w:cs="Arial"/>
          <w:sz w:val="20"/>
          <w:szCs w:val="20"/>
        </w:rPr>
        <w:t>výstavby logistického areálu, byla dokončena I. etapa výstavby Haly SO 02 a SO 06 o celkové ploše 57 133 m</w:t>
      </w:r>
      <w:r w:rsidR="00D6261F">
        <w:rPr>
          <w:rFonts w:asciiTheme="minorHAnsi" w:hAnsiTheme="minorHAnsi" w:cs="Arial"/>
          <w:sz w:val="20"/>
          <w:szCs w:val="20"/>
          <w:vertAlign w:val="superscript"/>
        </w:rPr>
        <w:t>2</w:t>
      </w:r>
      <w:r w:rsidR="00D6261F">
        <w:rPr>
          <w:rFonts w:asciiTheme="minorHAnsi" w:hAnsiTheme="minorHAnsi" w:cs="Arial"/>
          <w:sz w:val="20"/>
          <w:szCs w:val="20"/>
        </w:rPr>
        <w:t xml:space="preserve"> včetně související infrastruktury</w:t>
      </w:r>
      <w:r w:rsidR="0084636E">
        <w:rPr>
          <w:rFonts w:asciiTheme="minorHAnsi" w:hAnsiTheme="minorHAnsi" w:cs="Arial"/>
          <w:sz w:val="20"/>
          <w:szCs w:val="20"/>
        </w:rPr>
        <w:t>, v průběhu I. pololetí 2019 došlo k umístění prvních nájemců, mezi které patří</w:t>
      </w:r>
      <w:r w:rsidR="005956D0">
        <w:rPr>
          <w:rFonts w:asciiTheme="minorHAnsi" w:hAnsiTheme="minorHAnsi" w:cs="Arial"/>
          <w:sz w:val="20"/>
          <w:szCs w:val="20"/>
        </w:rPr>
        <w:t xml:space="preserve"> významné převážně mezinárodní společnosti jako </w:t>
      </w:r>
      <w:proofErr w:type="spellStart"/>
      <w:r w:rsidR="0084636E">
        <w:rPr>
          <w:rFonts w:asciiTheme="minorHAnsi" w:hAnsiTheme="minorHAnsi" w:cs="Arial"/>
          <w:sz w:val="20"/>
          <w:szCs w:val="20"/>
        </w:rPr>
        <w:t>Central</w:t>
      </w:r>
      <w:proofErr w:type="spellEnd"/>
      <w:r w:rsidR="0084636E">
        <w:rPr>
          <w:rFonts w:asciiTheme="minorHAnsi" w:hAnsiTheme="minorHAnsi" w:cs="Arial"/>
          <w:sz w:val="20"/>
          <w:szCs w:val="20"/>
        </w:rPr>
        <w:t xml:space="preserve"> </w:t>
      </w:r>
      <w:proofErr w:type="spellStart"/>
      <w:r w:rsidR="0084636E">
        <w:rPr>
          <w:rFonts w:asciiTheme="minorHAnsi" w:hAnsiTheme="minorHAnsi" w:cs="Arial"/>
          <w:sz w:val="20"/>
          <w:szCs w:val="20"/>
        </w:rPr>
        <w:t>Warehouse</w:t>
      </w:r>
      <w:proofErr w:type="spellEnd"/>
      <w:r w:rsidR="0084636E">
        <w:rPr>
          <w:rFonts w:asciiTheme="minorHAnsi" w:hAnsiTheme="minorHAnsi" w:cs="Arial"/>
          <w:sz w:val="20"/>
          <w:szCs w:val="20"/>
        </w:rPr>
        <w:t xml:space="preserve"> </w:t>
      </w:r>
      <w:proofErr w:type="spellStart"/>
      <w:r w:rsidR="0084636E">
        <w:rPr>
          <w:rFonts w:asciiTheme="minorHAnsi" w:hAnsiTheme="minorHAnsi" w:cs="Arial"/>
          <w:sz w:val="20"/>
          <w:szCs w:val="20"/>
        </w:rPr>
        <w:t>Solution</w:t>
      </w:r>
      <w:proofErr w:type="spellEnd"/>
      <w:r w:rsidR="0084636E">
        <w:rPr>
          <w:rFonts w:asciiTheme="minorHAnsi" w:hAnsiTheme="minorHAnsi" w:cs="Arial"/>
          <w:sz w:val="20"/>
          <w:szCs w:val="20"/>
        </w:rPr>
        <w:t xml:space="preserve">, s. r. o., Continental Barum s. r. o., </w:t>
      </w:r>
      <w:r w:rsidR="009130DF">
        <w:rPr>
          <w:rFonts w:asciiTheme="minorHAnsi" w:hAnsiTheme="minorHAnsi" w:cs="Arial"/>
          <w:sz w:val="20"/>
          <w:szCs w:val="20"/>
        </w:rPr>
        <w:br/>
      </w:r>
      <w:r w:rsidR="0084636E">
        <w:rPr>
          <w:rFonts w:asciiTheme="minorHAnsi" w:hAnsiTheme="minorHAnsi" w:cs="Arial"/>
          <w:sz w:val="20"/>
          <w:szCs w:val="20"/>
        </w:rPr>
        <w:t xml:space="preserve">DHL </w:t>
      </w:r>
      <w:proofErr w:type="spellStart"/>
      <w:r w:rsidR="0084636E">
        <w:rPr>
          <w:rFonts w:asciiTheme="minorHAnsi" w:hAnsiTheme="minorHAnsi" w:cs="Arial"/>
          <w:sz w:val="20"/>
          <w:szCs w:val="20"/>
        </w:rPr>
        <w:t>Automotive</w:t>
      </w:r>
      <w:proofErr w:type="spellEnd"/>
      <w:r w:rsidR="0084636E">
        <w:rPr>
          <w:rFonts w:asciiTheme="minorHAnsi" w:hAnsiTheme="minorHAnsi" w:cs="Arial"/>
          <w:sz w:val="20"/>
          <w:szCs w:val="20"/>
        </w:rPr>
        <w:t xml:space="preserve"> s. r. o., </w:t>
      </w:r>
      <w:proofErr w:type="spellStart"/>
      <w:r w:rsidR="0084636E">
        <w:rPr>
          <w:rFonts w:asciiTheme="minorHAnsi" w:hAnsiTheme="minorHAnsi" w:cs="Arial"/>
          <w:sz w:val="20"/>
          <w:szCs w:val="20"/>
        </w:rPr>
        <w:t>Rhenus</w:t>
      </w:r>
      <w:proofErr w:type="spellEnd"/>
      <w:r w:rsidR="0084636E">
        <w:rPr>
          <w:rFonts w:asciiTheme="minorHAnsi" w:hAnsiTheme="minorHAnsi" w:cs="Arial"/>
          <w:sz w:val="20"/>
          <w:szCs w:val="20"/>
        </w:rPr>
        <w:t xml:space="preserve"> </w:t>
      </w:r>
      <w:proofErr w:type="spellStart"/>
      <w:r w:rsidR="0084636E">
        <w:rPr>
          <w:rFonts w:asciiTheme="minorHAnsi" w:hAnsiTheme="minorHAnsi" w:cs="Arial"/>
          <w:sz w:val="20"/>
          <w:szCs w:val="20"/>
        </w:rPr>
        <w:t>Logistics</w:t>
      </w:r>
      <w:proofErr w:type="spellEnd"/>
      <w:r w:rsidR="0084636E">
        <w:rPr>
          <w:rFonts w:asciiTheme="minorHAnsi" w:hAnsiTheme="minorHAnsi" w:cs="Arial"/>
          <w:sz w:val="20"/>
          <w:szCs w:val="20"/>
        </w:rPr>
        <w:t xml:space="preserve"> s. r. o. a od 07/2019 UFI FILTERS Czech s. r. o. </w:t>
      </w:r>
      <w:r w:rsidR="005F500C">
        <w:rPr>
          <w:rFonts w:asciiTheme="minorHAnsi" w:hAnsiTheme="minorHAnsi" w:cs="Arial"/>
          <w:sz w:val="20"/>
          <w:szCs w:val="20"/>
        </w:rPr>
        <w:t xml:space="preserve"> Zároveň byla připravována Kupní smlouva mezi městem a investorem na pozemky zahrnuté v I. etapě stavby;</w:t>
      </w:r>
    </w:p>
    <w:p w:rsidR="0084636E" w:rsidRPr="0084636E" w:rsidRDefault="0084636E" w:rsidP="00A73E31">
      <w:pPr>
        <w:pStyle w:val="Odstavecseseznamem"/>
        <w:numPr>
          <w:ilvl w:val="0"/>
          <w:numId w:val="3"/>
        </w:numPr>
        <w:spacing w:before="120" w:after="120"/>
        <w:ind w:left="284" w:hanging="284"/>
        <w:jc w:val="both"/>
        <w:rPr>
          <w:rFonts w:asciiTheme="minorHAnsi" w:hAnsiTheme="minorHAnsi" w:cs="Arial"/>
          <w:sz w:val="20"/>
          <w:szCs w:val="20"/>
        </w:rPr>
      </w:pPr>
      <w:r w:rsidRPr="0084636E">
        <w:rPr>
          <w:rFonts w:asciiTheme="minorHAnsi" w:hAnsiTheme="minorHAnsi" w:cs="Arial"/>
          <w:sz w:val="20"/>
          <w:szCs w:val="20"/>
        </w:rPr>
        <w:t xml:space="preserve">aktuálně probíhá </w:t>
      </w:r>
      <w:r>
        <w:rPr>
          <w:rFonts w:asciiTheme="minorHAnsi" w:hAnsiTheme="minorHAnsi" w:cs="Arial"/>
          <w:sz w:val="20"/>
          <w:szCs w:val="20"/>
        </w:rPr>
        <w:t xml:space="preserve">v rámci II. etapy </w:t>
      </w:r>
      <w:r w:rsidRPr="0084636E">
        <w:rPr>
          <w:rFonts w:asciiTheme="minorHAnsi" w:hAnsiTheme="minorHAnsi" w:cs="Arial"/>
          <w:sz w:val="20"/>
          <w:szCs w:val="20"/>
        </w:rPr>
        <w:t>výstavba Haly SO 01 o výměře 48 864 m</w:t>
      </w:r>
      <w:r w:rsidRPr="0084636E">
        <w:rPr>
          <w:rFonts w:asciiTheme="minorHAnsi" w:hAnsiTheme="minorHAnsi" w:cs="Arial"/>
          <w:sz w:val="20"/>
          <w:szCs w:val="20"/>
          <w:vertAlign w:val="superscript"/>
        </w:rPr>
        <w:t>2</w:t>
      </w:r>
      <w:r>
        <w:rPr>
          <w:rFonts w:asciiTheme="minorHAnsi" w:hAnsiTheme="minorHAnsi" w:cs="Arial"/>
          <w:sz w:val="20"/>
          <w:szCs w:val="20"/>
        </w:rPr>
        <w:t xml:space="preserve">, její ukončení a předání nájemcům se předpokládá na přelomu prosince 2019 a ledna 2020. </w:t>
      </w:r>
    </w:p>
    <w:p w:rsidR="006620EA" w:rsidRDefault="00F1085E" w:rsidP="00997F53">
      <w:pPr>
        <w:spacing w:after="120"/>
        <w:ind w:left="284"/>
        <w:jc w:val="both"/>
        <w:rPr>
          <w:rFonts w:asciiTheme="minorHAnsi" w:hAnsiTheme="minorHAnsi" w:cs="Arial"/>
          <w:sz w:val="20"/>
          <w:szCs w:val="20"/>
        </w:rPr>
      </w:pPr>
      <w:r>
        <w:rPr>
          <w:rFonts w:asciiTheme="minorHAnsi" w:hAnsiTheme="minorHAnsi" w:cs="Arial"/>
          <w:sz w:val="20"/>
          <w:szCs w:val="20"/>
        </w:rPr>
        <w:t>Výstavba</w:t>
      </w:r>
      <w:r w:rsidR="00C1208F">
        <w:rPr>
          <w:rFonts w:asciiTheme="minorHAnsi" w:hAnsiTheme="minorHAnsi" w:cs="Arial"/>
          <w:sz w:val="20"/>
          <w:szCs w:val="20"/>
        </w:rPr>
        <w:t xml:space="preserve"> </w:t>
      </w:r>
      <w:r w:rsidR="007E5FA4">
        <w:rPr>
          <w:rFonts w:asciiTheme="minorHAnsi" w:hAnsiTheme="minorHAnsi" w:cs="Arial"/>
          <w:sz w:val="20"/>
          <w:szCs w:val="20"/>
        </w:rPr>
        <w:t>logistického parku</w:t>
      </w:r>
      <w:r w:rsidR="00C1208F">
        <w:rPr>
          <w:rFonts w:asciiTheme="minorHAnsi" w:hAnsiTheme="minorHAnsi" w:cs="Arial"/>
          <w:sz w:val="20"/>
          <w:szCs w:val="20"/>
        </w:rPr>
        <w:t xml:space="preserve"> </w:t>
      </w:r>
      <w:r w:rsidR="002F4892">
        <w:rPr>
          <w:rFonts w:asciiTheme="minorHAnsi" w:hAnsiTheme="minorHAnsi" w:cs="Arial"/>
          <w:sz w:val="20"/>
          <w:szCs w:val="20"/>
        </w:rPr>
        <w:t>má být dle smlouvy realizována ve čtyřech etapách</w:t>
      </w:r>
      <w:r w:rsidR="000F1D4A">
        <w:rPr>
          <w:rFonts w:asciiTheme="minorHAnsi" w:hAnsiTheme="minorHAnsi" w:cs="Arial"/>
          <w:sz w:val="20"/>
          <w:szCs w:val="20"/>
        </w:rPr>
        <w:t>,</w:t>
      </w:r>
      <w:r w:rsidR="002F4892">
        <w:rPr>
          <w:rFonts w:asciiTheme="minorHAnsi" w:hAnsiTheme="minorHAnsi" w:cs="Arial"/>
          <w:sz w:val="20"/>
          <w:szCs w:val="20"/>
        </w:rPr>
        <w:t xml:space="preserve"> díky </w:t>
      </w:r>
      <w:r w:rsidR="00CE0A35">
        <w:rPr>
          <w:rFonts w:asciiTheme="minorHAnsi" w:hAnsiTheme="minorHAnsi" w:cs="Arial"/>
          <w:sz w:val="20"/>
          <w:szCs w:val="20"/>
        </w:rPr>
        <w:t xml:space="preserve">předstihu investora </w:t>
      </w:r>
      <w:r w:rsidR="009B3892">
        <w:rPr>
          <w:rFonts w:asciiTheme="minorHAnsi" w:hAnsiTheme="minorHAnsi" w:cs="Arial"/>
          <w:sz w:val="20"/>
          <w:szCs w:val="20"/>
        </w:rPr>
        <w:t>oproti smluvně sjednaným termínům</w:t>
      </w:r>
      <w:r w:rsidR="002F4892">
        <w:rPr>
          <w:rFonts w:asciiTheme="minorHAnsi" w:hAnsiTheme="minorHAnsi" w:cs="Arial"/>
          <w:sz w:val="20"/>
          <w:szCs w:val="20"/>
        </w:rPr>
        <w:t xml:space="preserve"> se předpokládá zkrácení na tři etapy,</w:t>
      </w:r>
      <w:r w:rsidR="000F1D4A">
        <w:rPr>
          <w:rFonts w:asciiTheme="minorHAnsi" w:hAnsiTheme="minorHAnsi" w:cs="Arial"/>
          <w:sz w:val="20"/>
          <w:szCs w:val="20"/>
        </w:rPr>
        <w:t xml:space="preserve"> kompletně má být areál dokončen do 12/2023 s min. objemem 155 000 m</w:t>
      </w:r>
      <w:r w:rsidR="000F1D4A">
        <w:rPr>
          <w:rFonts w:asciiTheme="minorHAnsi" w:hAnsiTheme="minorHAnsi" w:cs="Arial"/>
          <w:sz w:val="20"/>
          <w:szCs w:val="20"/>
          <w:vertAlign w:val="superscript"/>
        </w:rPr>
        <w:t>2</w:t>
      </w:r>
      <w:r w:rsidR="000F1D4A">
        <w:rPr>
          <w:rFonts w:asciiTheme="minorHAnsi" w:hAnsiTheme="minorHAnsi" w:cs="Arial"/>
          <w:sz w:val="20"/>
          <w:szCs w:val="20"/>
        </w:rPr>
        <w:t xml:space="preserve"> skladových ploch</w:t>
      </w:r>
      <w:r w:rsidR="006620EA">
        <w:rPr>
          <w:rFonts w:asciiTheme="minorHAnsi" w:hAnsiTheme="minorHAnsi" w:cs="Arial"/>
          <w:sz w:val="20"/>
          <w:szCs w:val="20"/>
        </w:rPr>
        <w:t xml:space="preserve"> (předpoklad </w:t>
      </w:r>
      <w:r w:rsidR="004B700F">
        <w:rPr>
          <w:rFonts w:asciiTheme="minorHAnsi" w:hAnsiTheme="minorHAnsi" w:cs="Arial"/>
          <w:sz w:val="20"/>
          <w:szCs w:val="20"/>
        </w:rPr>
        <w:t xml:space="preserve">však </w:t>
      </w:r>
      <w:r w:rsidR="006620EA">
        <w:rPr>
          <w:rFonts w:asciiTheme="minorHAnsi" w:hAnsiTheme="minorHAnsi" w:cs="Arial"/>
          <w:sz w:val="20"/>
          <w:szCs w:val="20"/>
        </w:rPr>
        <w:t>činí 234 000 m</w:t>
      </w:r>
      <w:r w:rsidR="006620EA">
        <w:rPr>
          <w:rFonts w:asciiTheme="minorHAnsi" w:hAnsiTheme="minorHAnsi" w:cs="Arial"/>
          <w:sz w:val="20"/>
          <w:szCs w:val="20"/>
          <w:vertAlign w:val="superscript"/>
        </w:rPr>
        <w:t>2</w:t>
      </w:r>
      <w:r w:rsidR="006620EA">
        <w:rPr>
          <w:rFonts w:asciiTheme="minorHAnsi" w:hAnsiTheme="minorHAnsi" w:cs="Arial"/>
          <w:sz w:val="20"/>
          <w:szCs w:val="20"/>
        </w:rPr>
        <w:t xml:space="preserve"> skladových, výrobních a kancelářských ploch)</w:t>
      </w:r>
      <w:r w:rsidR="000F1D4A">
        <w:rPr>
          <w:rFonts w:asciiTheme="minorHAnsi" w:hAnsiTheme="minorHAnsi" w:cs="Arial"/>
          <w:sz w:val="20"/>
          <w:szCs w:val="20"/>
        </w:rPr>
        <w:t>.</w:t>
      </w:r>
      <w:r w:rsidR="00EC5036" w:rsidRPr="00997F53">
        <w:rPr>
          <w:rFonts w:asciiTheme="minorHAnsi" w:hAnsiTheme="minorHAnsi" w:cs="Arial"/>
          <w:sz w:val="20"/>
          <w:szCs w:val="20"/>
        </w:rPr>
        <w:t xml:space="preserve"> </w:t>
      </w:r>
      <w:r w:rsidR="00E37DFC">
        <w:rPr>
          <w:rFonts w:asciiTheme="minorHAnsi" w:hAnsiTheme="minorHAnsi" w:cs="Arial"/>
          <w:sz w:val="20"/>
          <w:szCs w:val="20"/>
        </w:rPr>
        <w:t xml:space="preserve">Součástí </w:t>
      </w:r>
      <w:r w:rsidR="007E5FA4">
        <w:rPr>
          <w:rFonts w:asciiTheme="minorHAnsi" w:hAnsiTheme="minorHAnsi" w:cs="Arial"/>
          <w:sz w:val="20"/>
          <w:szCs w:val="20"/>
        </w:rPr>
        <w:t xml:space="preserve">areálu bude železniční vlečka vedoucí ke dvěma největším halám a </w:t>
      </w:r>
      <w:r w:rsidR="00515144">
        <w:rPr>
          <w:rFonts w:asciiTheme="minorHAnsi" w:hAnsiTheme="minorHAnsi" w:cs="Arial"/>
          <w:sz w:val="20"/>
          <w:szCs w:val="20"/>
        </w:rPr>
        <w:t xml:space="preserve">železniční </w:t>
      </w:r>
      <w:r w:rsidR="00E37DFC">
        <w:rPr>
          <w:rFonts w:asciiTheme="minorHAnsi" w:hAnsiTheme="minorHAnsi" w:cs="Arial"/>
          <w:sz w:val="20"/>
          <w:szCs w:val="20"/>
        </w:rPr>
        <w:t xml:space="preserve">kontejnerový terminál, na který se investorovi podařilo získat </w:t>
      </w:r>
      <w:r w:rsidR="007E5FA4">
        <w:rPr>
          <w:rFonts w:asciiTheme="minorHAnsi" w:hAnsiTheme="minorHAnsi" w:cs="Arial"/>
          <w:sz w:val="20"/>
          <w:szCs w:val="20"/>
        </w:rPr>
        <w:t>dotaci</w:t>
      </w:r>
      <w:r w:rsidR="00E37DFC">
        <w:rPr>
          <w:rFonts w:asciiTheme="minorHAnsi" w:hAnsiTheme="minorHAnsi" w:cs="Arial"/>
          <w:sz w:val="20"/>
          <w:szCs w:val="20"/>
        </w:rPr>
        <w:t xml:space="preserve"> v rámci Operačního programu Doprava 2014-2020</w:t>
      </w:r>
      <w:r w:rsidR="005F500C">
        <w:rPr>
          <w:rFonts w:asciiTheme="minorHAnsi" w:hAnsiTheme="minorHAnsi" w:cs="Arial"/>
          <w:sz w:val="20"/>
          <w:szCs w:val="20"/>
        </w:rPr>
        <w:t xml:space="preserve">. </w:t>
      </w:r>
    </w:p>
    <w:p w:rsidR="00B87159" w:rsidRDefault="00D01237" w:rsidP="00B87159">
      <w:pPr>
        <w:spacing w:after="120"/>
        <w:ind w:left="284"/>
        <w:jc w:val="both"/>
        <w:rPr>
          <w:rFonts w:asciiTheme="minorHAnsi" w:hAnsiTheme="minorHAnsi" w:cs="Arial"/>
          <w:sz w:val="20"/>
          <w:szCs w:val="20"/>
        </w:rPr>
      </w:pPr>
      <w:r>
        <w:rPr>
          <w:rFonts w:asciiTheme="minorHAnsi" w:hAnsiTheme="minorHAnsi" w:cs="Arial"/>
          <w:sz w:val="20"/>
          <w:szCs w:val="20"/>
        </w:rPr>
        <w:lastRenderedPageBreak/>
        <w:t>Dokončením logistického centra vznikne unikátní dopravní uzel, který umožní kombinaci silniční,</w:t>
      </w:r>
      <w:r w:rsidR="002F4892">
        <w:rPr>
          <w:rFonts w:asciiTheme="minorHAnsi" w:hAnsiTheme="minorHAnsi" w:cs="Arial"/>
          <w:sz w:val="20"/>
          <w:szCs w:val="20"/>
        </w:rPr>
        <w:t xml:space="preserve"> železniční a letecké dopravy. Realizace projektu předpokládá také navýšení významu mezinárodního Letiště Leoše Janáčka Ostrava, a to </w:t>
      </w:r>
      <w:r w:rsidR="00515144">
        <w:rPr>
          <w:rFonts w:asciiTheme="minorHAnsi" w:hAnsiTheme="minorHAnsi" w:cs="Arial"/>
          <w:sz w:val="20"/>
          <w:szCs w:val="20"/>
        </w:rPr>
        <w:t xml:space="preserve">zaměřením na perspektivu nákladní letecké přepravy. </w:t>
      </w:r>
      <w:r w:rsidR="00D34027" w:rsidRPr="00997F53">
        <w:rPr>
          <w:rFonts w:asciiTheme="minorHAnsi" w:hAnsiTheme="minorHAnsi" w:cs="Arial"/>
          <w:sz w:val="20"/>
          <w:szCs w:val="20"/>
        </w:rPr>
        <w:t xml:space="preserve"> </w:t>
      </w:r>
    </w:p>
    <w:p w:rsidR="00581BC9" w:rsidRDefault="00114351" w:rsidP="00B87159">
      <w:pPr>
        <w:spacing w:after="120"/>
        <w:ind w:left="284"/>
        <w:jc w:val="both"/>
        <w:rPr>
          <w:rFonts w:asciiTheme="minorHAnsi" w:hAnsiTheme="minorHAnsi" w:cs="Arial"/>
          <w:sz w:val="20"/>
          <w:szCs w:val="20"/>
        </w:rPr>
      </w:pPr>
      <w:r w:rsidRPr="00114351">
        <w:rPr>
          <w:rFonts w:asciiTheme="minorHAnsi" w:hAnsiTheme="minorHAnsi" w:cs="Arial"/>
          <w:b/>
          <w:sz w:val="20"/>
          <w:szCs w:val="20"/>
        </w:rPr>
        <w:t>XZB (</w:t>
      </w:r>
      <w:proofErr w:type="spellStart"/>
      <w:r w:rsidRPr="00114351">
        <w:rPr>
          <w:rFonts w:asciiTheme="minorHAnsi" w:hAnsiTheme="minorHAnsi" w:cs="Arial"/>
          <w:b/>
          <w:sz w:val="20"/>
          <w:szCs w:val="20"/>
        </w:rPr>
        <w:t>Europe</w:t>
      </w:r>
      <w:proofErr w:type="spellEnd"/>
      <w:r w:rsidRPr="00114351">
        <w:rPr>
          <w:rFonts w:asciiTheme="minorHAnsi" w:hAnsiTheme="minorHAnsi" w:cs="Arial"/>
          <w:b/>
          <w:sz w:val="20"/>
          <w:szCs w:val="20"/>
        </w:rPr>
        <w:t>) s. r. o.</w:t>
      </w:r>
      <w:r>
        <w:rPr>
          <w:rFonts w:asciiTheme="minorHAnsi" w:hAnsiTheme="minorHAnsi" w:cs="Arial"/>
          <w:sz w:val="20"/>
          <w:szCs w:val="20"/>
        </w:rPr>
        <w:t xml:space="preserve"> </w:t>
      </w:r>
      <w:r w:rsidR="00804BD6">
        <w:rPr>
          <w:rFonts w:asciiTheme="minorHAnsi" w:hAnsiTheme="minorHAnsi" w:cs="Arial"/>
          <w:sz w:val="20"/>
          <w:szCs w:val="20"/>
        </w:rPr>
        <w:t>-</w:t>
      </w:r>
      <w:r>
        <w:rPr>
          <w:rFonts w:asciiTheme="minorHAnsi" w:hAnsiTheme="minorHAnsi" w:cs="Arial"/>
          <w:sz w:val="20"/>
          <w:szCs w:val="20"/>
        </w:rPr>
        <w:t xml:space="preserve"> </w:t>
      </w:r>
      <w:r w:rsidR="00C5499B">
        <w:rPr>
          <w:rFonts w:asciiTheme="minorHAnsi" w:hAnsiTheme="minorHAnsi" w:cs="Arial"/>
          <w:sz w:val="20"/>
          <w:szCs w:val="20"/>
        </w:rPr>
        <w:t>společnost, která uzavřela kupní smlouvu na prodej pozemku</w:t>
      </w:r>
      <w:r w:rsidR="004A3D84">
        <w:rPr>
          <w:rFonts w:asciiTheme="minorHAnsi" w:hAnsiTheme="minorHAnsi" w:cs="Arial"/>
          <w:sz w:val="20"/>
          <w:szCs w:val="20"/>
        </w:rPr>
        <w:t xml:space="preserve"> o rozloze 1,93 ha</w:t>
      </w:r>
      <w:r w:rsidR="00C5499B">
        <w:rPr>
          <w:rFonts w:asciiTheme="minorHAnsi" w:hAnsiTheme="minorHAnsi" w:cs="Arial"/>
          <w:sz w:val="20"/>
          <w:szCs w:val="20"/>
        </w:rPr>
        <w:t xml:space="preserve"> v závěru </w:t>
      </w:r>
      <w:r w:rsidR="009A1A93">
        <w:rPr>
          <w:rFonts w:asciiTheme="minorHAnsi" w:hAnsiTheme="minorHAnsi" w:cs="Arial"/>
          <w:sz w:val="20"/>
          <w:szCs w:val="20"/>
        </w:rPr>
        <w:br/>
      </w:r>
      <w:r w:rsidR="00C5499B">
        <w:rPr>
          <w:rFonts w:asciiTheme="minorHAnsi" w:hAnsiTheme="minorHAnsi" w:cs="Arial"/>
          <w:sz w:val="20"/>
          <w:szCs w:val="20"/>
        </w:rPr>
        <w:t>r. 2018, nyní funguje v pronajatých prostorách v logistickém areálu ve vlastnictví MSK v Mošnově</w:t>
      </w:r>
      <w:r w:rsidR="00BF0F34">
        <w:rPr>
          <w:rFonts w:asciiTheme="minorHAnsi" w:hAnsiTheme="minorHAnsi" w:cs="Arial"/>
          <w:sz w:val="20"/>
          <w:szCs w:val="20"/>
        </w:rPr>
        <w:t xml:space="preserve">. </w:t>
      </w:r>
      <w:r w:rsidR="00C5499B">
        <w:rPr>
          <w:rFonts w:asciiTheme="minorHAnsi" w:hAnsiTheme="minorHAnsi" w:cs="Arial"/>
          <w:sz w:val="20"/>
          <w:szCs w:val="20"/>
        </w:rPr>
        <w:t xml:space="preserve">Zde dojde </w:t>
      </w:r>
      <w:r w:rsidR="009A1A93">
        <w:rPr>
          <w:rFonts w:asciiTheme="minorHAnsi" w:hAnsiTheme="minorHAnsi" w:cs="Arial"/>
          <w:sz w:val="20"/>
          <w:szCs w:val="20"/>
        </w:rPr>
        <w:br/>
      </w:r>
      <w:r w:rsidR="00C5499B">
        <w:rPr>
          <w:rFonts w:asciiTheme="minorHAnsi" w:hAnsiTheme="minorHAnsi" w:cs="Arial"/>
          <w:sz w:val="20"/>
          <w:szCs w:val="20"/>
        </w:rPr>
        <w:t xml:space="preserve">od ledna 2020 k zahájení výroby pro AUDI a VW. </w:t>
      </w:r>
      <w:r w:rsidR="00804BD6">
        <w:rPr>
          <w:rFonts w:asciiTheme="minorHAnsi" w:hAnsiTheme="minorHAnsi" w:cs="Arial"/>
          <w:sz w:val="20"/>
          <w:szCs w:val="20"/>
        </w:rPr>
        <w:t xml:space="preserve">Současně probíhá projektová příprava stavby nového závodu </w:t>
      </w:r>
      <w:r w:rsidR="009A1A93">
        <w:rPr>
          <w:rFonts w:asciiTheme="minorHAnsi" w:hAnsiTheme="minorHAnsi" w:cs="Arial"/>
          <w:sz w:val="20"/>
          <w:szCs w:val="20"/>
        </w:rPr>
        <w:br/>
      </w:r>
      <w:r w:rsidR="00804BD6">
        <w:rPr>
          <w:rFonts w:asciiTheme="minorHAnsi" w:hAnsiTheme="minorHAnsi" w:cs="Arial"/>
          <w:sz w:val="20"/>
          <w:szCs w:val="20"/>
        </w:rPr>
        <w:t xml:space="preserve">na pozemku pořízeném z vlastnictví města. V průběhu I. pololetí r. 2019 byl uzavřen Dodatek č. 1 ke kupní smlouvě, zahrnující termínové změny z důvodu změn v technologickém layoutu závodu vyvolaných zvýšením zájmu o výrobky společnosti. Aktuálně již existuje finální podoba závodu a probíhá výběrové řízení na konstrukční a stavební firmu. </w:t>
      </w:r>
      <w:r w:rsidR="009A1A93">
        <w:rPr>
          <w:rFonts w:asciiTheme="minorHAnsi" w:hAnsiTheme="minorHAnsi" w:cs="Arial"/>
          <w:sz w:val="20"/>
          <w:szCs w:val="20"/>
        </w:rPr>
        <w:t xml:space="preserve">Do konce roku se předpokládá podání žádosti o územní rozhodnutí. </w:t>
      </w:r>
      <w:r w:rsidR="00E40504">
        <w:rPr>
          <w:rFonts w:asciiTheme="minorHAnsi" w:hAnsiTheme="minorHAnsi" w:cs="Arial"/>
          <w:sz w:val="20"/>
          <w:szCs w:val="20"/>
        </w:rPr>
        <w:t xml:space="preserve"> Investor se zavázal vytvořit min. 50 nových pracovních míst, a to k datu 31. 12. 2024. </w:t>
      </w:r>
    </w:p>
    <w:p w:rsidR="00A92834" w:rsidRDefault="00ED6D28" w:rsidP="008A42ED">
      <w:pPr>
        <w:numPr>
          <w:ilvl w:val="0"/>
          <w:numId w:val="3"/>
        </w:numPr>
        <w:spacing w:after="120"/>
        <w:ind w:left="284" w:hanging="284"/>
        <w:jc w:val="both"/>
        <w:rPr>
          <w:rFonts w:asciiTheme="minorHAnsi" w:hAnsiTheme="minorHAnsi" w:cs="Arial"/>
          <w:sz w:val="20"/>
          <w:szCs w:val="20"/>
        </w:rPr>
      </w:pPr>
      <w:r>
        <w:rPr>
          <w:rFonts w:asciiTheme="minorHAnsi" w:hAnsiTheme="minorHAnsi" w:cs="Arial"/>
          <w:sz w:val="20"/>
          <w:szCs w:val="20"/>
        </w:rPr>
        <w:t>Zastupitelstvo města konané v červnu 2019 schválilo návrh kupní smlouvy</w:t>
      </w:r>
      <w:r w:rsidR="00A92834">
        <w:rPr>
          <w:rFonts w:asciiTheme="minorHAnsi" w:hAnsiTheme="minorHAnsi" w:cs="Arial"/>
          <w:sz w:val="20"/>
          <w:szCs w:val="20"/>
        </w:rPr>
        <w:t xml:space="preserve"> s investorem z oblasti potravinářské výroby sladkého pečiva a cukrovinek</w:t>
      </w:r>
      <w:r>
        <w:rPr>
          <w:rFonts w:asciiTheme="minorHAnsi" w:hAnsiTheme="minorHAnsi" w:cs="Arial"/>
          <w:sz w:val="20"/>
          <w:szCs w:val="20"/>
        </w:rPr>
        <w:t xml:space="preserve"> na pozemky ve strategické průmyslové zóně</w:t>
      </w:r>
      <w:r w:rsidR="00A92834">
        <w:rPr>
          <w:rFonts w:asciiTheme="minorHAnsi" w:hAnsiTheme="minorHAnsi" w:cs="Arial"/>
          <w:sz w:val="20"/>
          <w:szCs w:val="20"/>
        </w:rPr>
        <w:t xml:space="preserve"> o rozloze 4</w:t>
      </w:r>
      <w:r>
        <w:rPr>
          <w:rFonts w:asciiTheme="minorHAnsi" w:hAnsiTheme="minorHAnsi" w:cs="Arial"/>
          <w:sz w:val="20"/>
          <w:szCs w:val="20"/>
        </w:rPr>
        <w:t>,1</w:t>
      </w:r>
      <w:r w:rsidR="00A92834">
        <w:rPr>
          <w:rFonts w:asciiTheme="minorHAnsi" w:hAnsiTheme="minorHAnsi" w:cs="Arial"/>
          <w:sz w:val="20"/>
          <w:szCs w:val="20"/>
        </w:rPr>
        <w:t xml:space="preserve"> ha za účelem výstavby výrobního závodu s</w:t>
      </w:r>
      <w:r w:rsidR="00C26383">
        <w:rPr>
          <w:rFonts w:asciiTheme="minorHAnsi" w:hAnsiTheme="minorHAnsi" w:cs="Arial"/>
          <w:sz w:val="20"/>
          <w:szCs w:val="20"/>
        </w:rPr>
        <w:t> </w:t>
      </w:r>
      <w:r w:rsidR="00A92834">
        <w:rPr>
          <w:rFonts w:asciiTheme="minorHAnsi" w:hAnsiTheme="minorHAnsi" w:cs="Arial"/>
          <w:sz w:val="20"/>
          <w:szCs w:val="20"/>
        </w:rPr>
        <w:t>logistikou</w:t>
      </w:r>
      <w:r w:rsidR="00C26383">
        <w:rPr>
          <w:rFonts w:asciiTheme="minorHAnsi" w:hAnsiTheme="minorHAnsi" w:cs="Arial"/>
          <w:sz w:val="20"/>
          <w:szCs w:val="20"/>
        </w:rPr>
        <w:t xml:space="preserve">, </w:t>
      </w:r>
      <w:r>
        <w:rPr>
          <w:rFonts w:asciiTheme="minorHAnsi" w:hAnsiTheme="minorHAnsi" w:cs="Arial"/>
          <w:sz w:val="20"/>
          <w:szCs w:val="20"/>
        </w:rPr>
        <w:t xml:space="preserve">kupní smlouva je nyní ve schvalovacím procesu Správce programu - Ministerstva průmyslu a obchodu ČR. </w:t>
      </w:r>
    </w:p>
    <w:p w:rsidR="00D87892" w:rsidRDefault="00D87892" w:rsidP="00D87892">
      <w:pPr>
        <w:spacing w:after="120"/>
        <w:ind w:left="284"/>
        <w:jc w:val="both"/>
        <w:rPr>
          <w:rFonts w:asciiTheme="minorHAnsi" w:hAnsiTheme="minorHAnsi" w:cs="Arial"/>
          <w:sz w:val="20"/>
          <w:szCs w:val="20"/>
        </w:rPr>
      </w:pPr>
      <w:r>
        <w:rPr>
          <w:rFonts w:asciiTheme="minorHAnsi" w:hAnsiTheme="minorHAnsi" w:cs="Arial"/>
          <w:b/>
          <w:sz w:val="20"/>
          <w:szCs w:val="20"/>
        </w:rPr>
        <w:t xml:space="preserve">Společnost pro využití letiště Ostrava - Mošnov, a. s. </w:t>
      </w:r>
      <w:r w:rsidR="00FE6BAD" w:rsidRPr="00FE6BAD">
        <w:rPr>
          <w:rFonts w:asciiTheme="minorHAnsi" w:hAnsiTheme="minorHAnsi" w:cs="Arial"/>
          <w:sz w:val="20"/>
          <w:szCs w:val="20"/>
        </w:rPr>
        <w:t>(</w:t>
      </w:r>
      <w:r w:rsidR="00FE6BAD" w:rsidRPr="00FE6BAD">
        <w:rPr>
          <w:rFonts w:asciiTheme="minorHAnsi" w:hAnsiTheme="minorHAnsi" w:cs="Arial"/>
          <w:i/>
          <w:sz w:val="20"/>
          <w:szCs w:val="20"/>
        </w:rPr>
        <w:t>dále jen SOM</w:t>
      </w:r>
      <w:r w:rsidR="00FE6BAD" w:rsidRPr="00FE6BAD">
        <w:rPr>
          <w:rFonts w:asciiTheme="minorHAnsi" w:hAnsiTheme="minorHAnsi" w:cs="Arial"/>
          <w:sz w:val="20"/>
          <w:szCs w:val="20"/>
        </w:rPr>
        <w:t>)</w:t>
      </w:r>
      <w:r w:rsidR="00FE6BAD">
        <w:rPr>
          <w:rFonts w:asciiTheme="minorHAnsi" w:hAnsiTheme="minorHAnsi" w:cs="Arial"/>
          <w:b/>
          <w:sz w:val="20"/>
          <w:szCs w:val="20"/>
        </w:rPr>
        <w:t xml:space="preserve"> </w:t>
      </w:r>
      <w:r>
        <w:rPr>
          <w:rFonts w:asciiTheme="minorHAnsi" w:hAnsiTheme="minorHAnsi" w:cs="Arial"/>
          <w:b/>
          <w:sz w:val="20"/>
          <w:szCs w:val="20"/>
        </w:rPr>
        <w:t xml:space="preserve">- </w:t>
      </w:r>
      <w:r>
        <w:rPr>
          <w:rFonts w:asciiTheme="minorHAnsi" w:hAnsiTheme="minorHAnsi" w:cs="Arial"/>
          <w:sz w:val="20"/>
          <w:szCs w:val="20"/>
        </w:rPr>
        <w:t xml:space="preserve">společnost založená v roce 1995 za účelem správy obchodně-podnikatelského areálu v bezprostřední blízkosti </w:t>
      </w:r>
      <w:r w:rsidR="00FE6BAD">
        <w:rPr>
          <w:rFonts w:asciiTheme="minorHAnsi" w:hAnsiTheme="minorHAnsi" w:cs="Arial"/>
          <w:sz w:val="20"/>
          <w:szCs w:val="20"/>
        </w:rPr>
        <w:t xml:space="preserve">mezinárodního letiště Leoše Janáčka v majetku statutárního města Ostravy. </w:t>
      </w:r>
      <w:r w:rsidR="00A7745C">
        <w:rPr>
          <w:rFonts w:asciiTheme="minorHAnsi" w:hAnsiTheme="minorHAnsi" w:cs="Arial"/>
          <w:sz w:val="20"/>
          <w:szCs w:val="20"/>
        </w:rPr>
        <w:t>S ohledem na plánované změny ve správě areálu směřující ke zvýšení efektivnosti provozování celého průmyslového areálu v Mošnově, pokračovala v průběhu I. pololetí r. 2019 jednání o odkupu akcií obce Mošnov, tvořících 30% základního kapitálu společnosti. Provoz bude následně zajiš</w:t>
      </w:r>
      <w:r w:rsidR="00675EE3">
        <w:rPr>
          <w:rFonts w:asciiTheme="minorHAnsi" w:hAnsiTheme="minorHAnsi" w:cs="Arial"/>
          <w:sz w:val="20"/>
          <w:szCs w:val="20"/>
        </w:rPr>
        <w:t xml:space="preserve">ťován společností, </w:t>
      </w:r>
      <w:r w:rsidR="00A0601E">
        <w:rPr>
          <w:rFonts w:asciiTheme="minorHAnsi" w:hAnsiTheme="minorHAnsi" w:cs="Arial"/>
          <w:sz w:val="20"/>
          <w:szCs w:val="20"/>
        </w:rPr>
        <w:br/>
      </w:r>
      <w:r w:rsidR="00675EE3">
        <w:rPr>
          <w:rFonts w:asciiTheme="minorHAnsi" w:hAnsiTheme="minorHAnsi" w:cs="Arial"/>
          <w:sz w:val="20"/>
          <w:szCs w:val="20"/>
        </w:rPr>
        <w:t xml:space="preserve">na které se budou podílet statutární město Ostrava a Moravskoslezský kraj jako vlastníci ploch průmyslového areálu. </w:t>
      </w:r>
      <w:r w:rsidR="00A7745C">
        <w:rPr>
          <w:rFonts w:asciiTheme="minorHAnsi" w:hAnsiTheme="minorHAnsi" w:cs="Arial"/>
          <w:sz w:val="20"/>
          <w:szCs w:val="20"/>
        </w:rPr>
        <w:t xml:space="preserve"> </w:t>
      </w:r>
    </w:p>
    <w:p w:rsidR="00A04FEB" w:rsidRDefault="00675EE3" w:rsidP="00D87892">
      <w:pPr>
        <w:spacing w:after="120"/>
        <w:ind w:left="284"/>
        <w:jc w:val="both"/>
        <w:rPr>
          <w:rFonts w:asciiTheme="minorHAnsi" w:hAnsiTheme="minorHAnsi" w:cs="Arial"/>
          <w:sz w:val="20"/>
          <w:szCs w:val="20"/>
        </w:rPr>
      </w:pPr>
      <w:r>
        <w:rPr>
          <w:rFonts w:asciiTheme="minorHAnsi" w:hAnsiTheme="minorHAnsi" w:cs="Arial"/>
          <w:sz w:val="20"/>
          <w:szCs w:val="20"/>
        </w:rPr>
        <w:t xml:space="preserve">Statutární město Ostrava vypovědělo v závěru r. 2018 nájemní smlouvy se společností SOM, nájemní vztahy založené těmito smlouvami byly ukončeny k 31. 5. 2019 a od června 2019 vstoupily v platnost nově uzavřené nájemní smlouvy mezi stávajícími nájemci a městem. </w:t>
      </w:r>
    </w:p>
    <w:p w:rsidR="00675EE3" w:rsidRPr="00FE6BAD" w:rsidRDefault="00675EE3" w:rsidP="00D87892">
      <w:pPr>
        <w:spacing w:after="120"/>
        <w:ind w:left="284"/>
        <w:jc w:val="both"/>
        <w:rPr>
          <w:rFonts w:asciiTheme="minorHAnsi" w:hAnsiTheme="minorHAnsi" w:cs="Arial"/>
          <w:sz w:val="20"/>
          <w:szCs w:val="20"/>
        </w:rPr>
      </w:pPr>
    </w:p>
    <w:p w:rsidR="000C5B0C" w:rsidRDefault="00BB2BD6" w:rsidP="00BB2BD6">
      <w:pPr>
        <w:spacing w:after="120"/>
        <w:jc w:val="both"/>
        <w:rPr>
          <w:rFonts w:asciiTheme="minorHAnsi" w:hAnsiTheme="minorHAnsi" w:cs="Arial"/>
          <w:b/>
          <w:sz w:val="22"/>
          <w:szCs w:val="22"/>
        </w:rPr>
      </w:pPr>
      <w:r w:rsidRPr="007E3FCA">
        <w:rPr>
          <w:rFonts w:asciiTheme="minorHAnsi" w:hAnsiTheme="minorHAnsi" w:cs="Arial"/>
          <w:b/>
          <w:sz w:val="22"/>
          <w:szCs w:val="22"/>
        </w:rPr>
        <w:t>Rozšíření technické infrastruktury</w:t>
      </w:r>
      <w:r w:rsidR="00345E13">
        <w:rPr>
          <w:rFonts w:asciiTheme="minorHAnsi" w:hAnsiTheme="minorHAnsi" w:cs="Arial"/>
          <w:b/>
          <w:sz w:val="22"/>
          <w:szCs w:val="22"/>
        </w:rPr>
        <w:t xml:space="preserve"> -</w:t>
      </w:r>
      <w:r w:rsidR="00064113" w:rsidRPr="007E3FCA">
        <w:rPr>
          <w:rFonts w:asciiTheme="minorHAnsi" w:hAnsiTheme="minorHAnsi" w:cs="Arial"/>
          <w:b/>
          <w:sz w:val="22"/>
          <w:szCs w:val="22"/>
        </w:rPr>
        <w:t xml:space="preserve"> </w:t>
      </w:r>
      <w:r w:rsidR="00345E13">
        <w:rPr>
          <w:rFonts w:asciiTheme="minorHAnsi" w:hAnsiTheme="minorHAnsi" w:cs="Arial"/>
          <w:b/>
          <w:sz w:val="22"/>
          <w:szCs w:val="22"/>
        </w:rPr>
        <w:t>investiční projekty:</w:t>
      </w:r>
    </w:p>
    <w:p w:rsidR="00345E13" w:rsidRPr="007E3FCA" w:rsidRDefault="00345E13" w:rsidP="00BB2BD6">
      <w:pPr>
        <w:spacing w:after="120"/>
        <w:jc w:val="both"/>
        <w:rPr>
          <w:rFonts w:asciiTheme="minorHAnsi" w:hAnsiTheme="minorHAnsi" w:cs="Arial"/>
          <w:b/>
          <w:sz w:val="22"/>
          <w:szCs w:val="22"/>
        </w:rPr>
      </w:pPr>
    </w:p>
    <w:p w:rsidR="000F5E5D" w:rsidRPr="000F5E5D" w:rsidRDefault="000F5E5D" w:rsidP="000F5E5D">
      <w:pPr>
        <w:pStyle w:val="Odstavecseseznamem"/>
        <w:numPr>
          <w:ilvl w:val="0"/>
          <w:numId w:val="3"/>
        </w:numPr>
        <w:spacing w:after="120"/>
        <w:ind w:left="284" w:hanging="284"/>
        <w:jc w:val="both"/>
        <w:rPr>
          <w:rFonts w:asciiTheme="minorHAnsi" w:hAnsiTheme="minorHAnsi" w:cs="Arial"/>
          <w:b/>
          <w:sz w:val="20"/>
          <w:szCs w:val="20"/>
        </w:rPr>
      </w:pPr>
      <w:r w:rsidRPr="000F5E5D">
        <w:rPr>
          <w:rFonts w:asciiTheme="minorHAnsi" w:hAnsiTheme="minorHAnsi" w:cs="Arial"/>
          <w:b/>
          <w:sz w:val="20"/>
          <w:szCs w:val="20"/>
        </w:rPr>
        <w:t>projekty k posílení kapacity zdrojů průmyslové zóny</w:t>
      </w:r>
    </w:p>
    <w:p w:rsidR="00BB2BD6" w:rsidRDefault="000C5B0C" w:rsidP="00BB2BD6">
      <w:pPr>
        <w:spacing w:after="120"/>
        <w:jc w:val="both"/>
        <w:rPr>
          <w:rFonts w:asciiTheme="minorHAnsi" w:hAnsiTheme="minorHAnsi" w:cs="Arial"/>
          <w:sz w:val="20"/>
          <w:szCs w:val="20"/>
        </w:rPr>
      </w:pPr>
      <w:r w:rsidRPr="000C5B0C">
        <w:rPr>
          <w:rFonts w:asciiTheme="minorHAnsi" w:hAnsiTheme="minorHAnsi" w:cs="Arial"/>
          <w:sz w:val="20"/>
          <w:szCs w:val="20"/>
        </w:rPr>
        <w:t>Ačkoliv stěžejní technická infrastruktura průmyslové zóny byla vybudována v rámci I. etapy projektu</w:t>
      </w:r>
      <w:r w:rsidR="004C40F7" w:rsidRPr="000C5B0C">
        <w:rPr>
          <w:rFonts w:asciiTheme="minorHAnsi" w:hAnsiTheme="minorHAnsi" w:cs="Arial"/>
          <w:sz w:val="20"/>
          <w:szCs w:val="20"/>
        </w:rPr>
        <w:t xml:space="preserve"> </w:t>
      </w:r>
      <w:r>
        <w:rPr>
          <w:rFonts w:asciiTheme="minorHAnsi" w:hAnsiTheme="minorHAnsi" w:cs="Arial"/>
          <w:sz w:val="20"/>
          <w:szCs w:val="20"/>
        </w:rPr>
        <w:t xml:space="preserve">zejména v letech 2007 - 2012, došlo se zvýšeným zájmem investorů o pozemky k postupnému ubývání kapacity médií a </w:t>
      </w:r>
      <w:r w:rsidR="000F5E5D">
        <w:rPr>
          <w:rFonts w:asciiTheme="minorHAnsi" w:hAnsiTheme="minorHAnsi" w:cs="Arial"/>
          <w:sz w:val="20"/>
          <w:szCs w:val="20"/>
        </w:rPr>
        <w:t>pro další rozvoj a plnohodnotné fungování strategické průmyslové zóny bylo nezbytné jejich posílení, k čemuž došlo především v průběhu roku 2018. Jednalo se např. o:</w:t>
      </w:r>
    </w:p>
    <w:p w:rsidR="000F5E5D" w:rsidRPr="00EC01B7" w:rsidRDefault="00EC01B7" w:rsidP="00EC01B7">
      <w:pPr>
        <w:pStyle w:val="Odstavecseseznamem"/>
        <w:numPr>
          <w:ilvl w:val="0"/>
          <w:numId w:val="27"/>
        </w:numPr>
        <w:jc w:val="both"/>
        <w:rPr>
          <w:rFonts w:asciiTheme="minorHAnsi" w:hAnsiTheme="minorHAnsi" w:cs="Arial"/>
          <w:sz w:val="20"/>
          <w:szCs w:val="20"/>
        </w:rPr>
      </w:pPr>
      <w:r w:rsidRPr="00EC01B7">
        <w:rPr>
          <w:rFonts w:asciiTheme="minorHAnsi" w:hAnsiTheme="minorHAnsi" w:cs="Arial"/>
          <w:sz w:val="20"/>
          <w:szCs w:val="20"/>
        </w:rPr>
        <w:t>r</w:t>
      </w:r>
      <w:r w:rsidR="000F5E5D" w:rsidRPr="00EC01B7">
        <w:rPr>
          <w:rFonts w:asciiTheme="minorHAnsi" w:hAnsiTheme="minorHAnsi" w:cs="Arial"/>
          <w:sz w:val="20"/>
          <w:szCs w:val="20"/>
        </w:rPr>
        <w:t xml:space="preserve">ealizaci regulačního vodárenského uzlu PZ Mošnov </w:t>
      </w:r>
      <w:r w:rsidR="009130DF">
        <w:rPr>
          <w:rFonts w:asciiTheme="minorHAnsi" w:hAnsiTheme="minorHAnsi" w:cs="Arial"/>
          <w:sz w:val="20"/>
          <w:szCs w:val="20"/>
        </w:rPr>
        <w:t>-</w:t>
      </w:r>
      <w:r w:rsidR="000F5E5D" w:rsidRPr="00EC01B7">
        <w:rPr>
          <w:rFonts w:asciiTheme="minorHAnsi" w:hAnsiTheme="minorHAnsi" w:cs="Arial"/>
          <w:sz w:val="20"/>
          <w:szCs w:val="20"/>
        </w:rPr>
        <w:t xml:space="preserve"> navýšení dodávky pitné vody až na 50 l/s (investor město)</w:t>
      </w:r>
    </w:p>
    <w:p w:rsidR="000F5E5D" w:rsidRPr="00EC01B7" w:rsidRDefault="00EC01B7" w:rsidP="00EC01B7">
      <w:pPr>
        <w:pStyle w:val="Odstavecseseznamem"/>
        <w:numPr>
          <w:ilvl w:val="0"/>
          <w:numId w:val="27"/>
        </w:numPr>
        <w:jc w:val="both"/>
        <w:rPr>
          <w:rFonts w:asciiTheme="minorHAnsi" w:hAnsiTheme="minorHAnsi" w:cs="Arial"/>
          <w:sz w:val="20"/>
          <w:szCs w:val="20"/>
        </w:rPr>
      </w:pPr>
      <w:r w:rsidRPr="00EC01B7">
        <w:rPr>
          <w:rFonts w:asciiTheme="minorHAnsi" w:hAnsiTheme="minorHAnsi" w:cs="Arial"/>
          <w:sz w:val="20"/>
          <w:szCs w:val="20"/>
        </w:rPr>
        <w:t>n</w:t>
      </w:r>
      <w:r w:rsidR="000F5E5D" w:rsidRPr="00EC01B7">
        <w:rPr>
          <w:rFonts w:asciiTheme="minorHAnsi" w:hAnsiTheme="minorHAnsi" w:cs="Arial"/>
          <w:sz w:val="20"/>
          <w:szCs w:val="20"/>
        </w:rPr>
        <w:t xml:space="preserve">avýšení kapacity plynu </w:t>
      </w:r>
      <w:r w:rsidR="009130DF">
        <w:rPr>
          <w:rFonts w:asciiTheme="minorHAnsi" w:hAnsiTheme="minorHAnsi" w:cs="Arial"/>
          <w:sz w:val="20"/>
          <w:szCs w:val="20"/>
        </w:rPr>
        <w:t>-</w:t>
      </w:r>
      <w:r w:rsidR="000F5E5D" w:rsidRPr="00EC01B7">
        <w:rPr>
          <w:rFonts w:asciiTheme="minorHAnsi" w:hAnsiTheme="minorHAnsi" w:cs="Arial"/>
          <w:sz w:val="20"/>
          <w:szCs w:val="20"/>
        </w:rPr>
        <w:t xml:space="preserve"> posílení regulační stanice RS1 u závodu </w:t>
      </w:r>
      <w:proofErr w:type="spellStart"/>
      <w:r w:rsidR="000F5E5D" w:rsidRPr="00EC01B7">
        <w:rPr>
          <w:rFonts w:asciiTheme="minorHAnsi" w:hAnsiTheme="minorHAnsi" w:cs="Arial"/>
          <w:sz w:val="20"/>
          <w:szCs w:val="20"/>
        </w:rPr>
        <w:t>Plakor</w:t>
      </w:r>
      <w:proofErr w:type="spellEnd"/>
      <w:r w:rsidR="000F5E5D" w:rsidRPr="00EC01B7">
        <w:rPr>
          <w:rFonts w:asciiTheme="minorHAnsi" w:hAnsiTheme="minorHAnsi" w:cs="Arial"/>
          <w:sz w:val="20"/>
          <w:szCs w:val="20"/>
        </w:rPr>
        <w:t xml:space="preserve"> (investor město) </w:t>
      </w:r>
    </w:p>
    <w:p w:rsidR="000F5E5D" w:rsidRPr="00EC01B7" w:rsidRDefault="00EC01B7" w:rsidP="00EC01B7">
      <w:pPr>
        <w:pStyle w:val="Odstavecseseznamem"/>
        <w:numPr>
          <w:ilvl w:val="0"/>
          <w:numId w:val="27"/>
        </w:numPr>
        <w:jc w:val="both"/>
        <w:rPr>
          <w:rFonts w:asciiTheme="minorHAnsi" w:hAnsiTheme="minorHAnsi" w:cs="Arial"/>
          <w:sz w:val="20"/>
          <w:szCs w:val="20"/>
        </w:rPr>
      </w:pPr>
      <w:r w:rsidRPr="00EC01B7">
        <w:rPr>
          <w:rFonts w:asciiTheme="minorHAnsi" w:hAnsiTheme="minorHAnsi" w:cs="Arial"/>
          <w:sz w:val="20"/>
          <w:szCs w:val="20"/>
        </w:rPr>
        <w:t>n</w:t>
      </w:r>
      <w:r w:rsidR="000F5E5D" w:rsidRPr="00EC01B7">
        <w:rPr>
          <w:rFonts w:asciiTheme="minorHAnsi" w:hAnsiTheme="minorHAnsi" w:cs="Arial"/>
          <w:sz w:val="20"/>
          <w:szCs w:val="20"/>
        </w:rPr>
        <w:t xml:space="preserve">avýšení </w:t>
      </w:r>
      <w:r w:rsidRPr="00EC01B7">
        <w:rPr>
          <w:rFonts w:asciiTheme="minorHAnsi" w:hAnsiTheme="minorHAnsi" w:cs="Arial"/>
          <w:sz w:val="20"/>
          <w:szCs w:val="20"/>
        </w:rPr>
        <w:t xml:space="preserve">kapacity </w:t>
      </w:r>
      <w:r w:rsidR="000F5E5D" w:rsidRPr="00EC01B7">
        <w:rPr>
          <w:rFonts w:asciiTheme="minorHAnsi" w:hAnsiTheme="minorHAnsi" w:cs="Arial"/>
          <w:sz w:val="20"/>
          <w:szCs w:val="20"/>
        </w:rPr>
        <w:t xml:space="preserve">elektrické energie </w:t>
      </w:r>
      <w:r w:rsidRPr="00EC01B7">
        <w:rPr>
          <w:rFonts w:asciiTheme="minorHAnsi" w:hAnsiTheme="minorHAnsi" w:cs="Arial"/>
          <w:sz w:val="20"/>
          <w:szCs w:val="20"/>
        </w:rPr>
        <w:t xml:space="preserve">o 50 MW </w:t>
      </w:r>
      <w:r w:rsidR="000F5E5D" w:rsidRPr="00EC01B7">
        <w:rPr>
          <w:rFonts w:asciiTheme="minorHAnsi" w:hAnsiTheme="minorHAnsi" w:cs="Arial"/>
          <w:sz w:val="20"/>
          <w:szCs w:val="20"/>
        </w:rPr>
        <w:t>rekonstrukcí technologie trafostanice</w:t>
      </w:r>
      <w:r w:rsidRPr="00EC01B7">
        <w:rPr>
          <w:rFonts w:asciiTheme="minorHAnsi" w:hAnsiTheme="minorHAnsi" w:cs="Arial"/>
          <w:sz w:val="20"/>
          <w:szCs w:val="20"/>
        </w:rPr>
        <w:t xml:space="preserve"> (investor ČEZ) </w:t>
      </w:r>
    </w:p>
    <w:p w:rsidR="00EC01B7" w:rsidRPr="000C5B0C" w:rsidRDefault="00EC01B7" w:rsidP="00EC01B7">
      <w:pPr>
        <w:jc w:val="both"/>
        <w:rPr>
          <w:rFonts w:asciiTheme="minorHAnsi" w:hAnsiTheme="minorHAnsi" w:cs="Arial"/>
          <w:sz w:val="20"/>
          <w:szCs w:val="20"/>
        </w:rPr>
      </w:pPr>
    </w:p>
    <w:p w:rsidR="00DB4D6A" w:rsidRPr="00FD75EF" w:rsidRDefault="00EC01B7" w:rsidP="008A42ED">
      <w:pPr>
        <w:pStyle w:val="Odstavecseseznamem"/>
        <w:numPr>
          <w:ilvl w:val="0"/>
          <w:numId w:val="5"/>
        </w:numPr>
        <w:spacing w:after="120"/>
        <w:ind w:left="284" w:hanging="284"/>
        <w:jc w:val="both"/>
        <w:rPr>
          <w:rFonts w:asciiTheme="minorHAnsi" w:hAnsiTheme="minorHAnsi" w:cs="Arial"/>
          <w:b/>
          <w:sz w:val="20"/>
          <w:szCs w:val="20"/>
        </w:rPr>
      </w:pPr>
      <w:r>
        <w:rPr>
          <w:rFonts w:asciiTheme="minorHAnsi" w:hAnsiTheme="minorHAnsi" w:cs="Arial"/>
          <w:b/>
          <w:sz w:val="20"/>
          <w:szCs w:val="20"/>
        </w:rPr>
        <w:t>projekty pro připojení nových investorů</w:t>
      </w:r>
      <w:r w:rsidR="00FD75EF" w:rsidRPr="00FD75EF">
        <w:rPr>
          <w:rFonts w:asciiTheme="minorHAnsi" w:hAnsiTheme="minorHAnsi" w:cs="Arial"/>
          <w:b/>
          <w:sz w:val="20"/>
          <w:szCs w:val="20"/>
        </w:rPr>
        <w:t xml:space="preserve"> </w:t>
      </w:r>
    </w:p>
    <w:p w:rsidR="00DB4D6A" w:rsidRDefault="00EC01B7" w:rsidP="008A42ED">
      <w:pPr>
        <w:pStyle w:val="Odstavecseseznamem"/>
        <w:numPr>
          <w:ilvl w:val="1"/>
          <w:numId w:val="6"/>
        </w:numPr>
        <w:spacing w:after="120"/>
        <w:ind w:left="567" w:hanging="283"/>
        <w:jc w:val="both"/>
        <w:rPr>
          <w:rFonts w:asciiTheme="minorHAnsi" w:hAnsiTheme="minorHAnsi" w:cs="Arial"/>
          <w:sz w:val="20"/>
          <w:szCs w:val="20"/>
        </w:rPr>
      </w:pPr>
      <w:r>
        <w:rPr>
          <w:rFonts w:asciiTheme="minorHAnsi" w:hAnsiTheme="minorHAnsi" w:cs="Arial"/>
          <w:sz w:val="20"/>
          <w:szCs w:val="20"/>
        </w:rPr>
        <w:t xml:space="preserve">nová větev STL plynovodu pro plochu G1 a G2 zóny </w:t>
      </w:r>
      <w:r w:rsidR="00BD26B9">
        <w:rPr>
          <w:rFonts w:asciiTheme="minorHAnsi" w:hAnsiTheme="minorHAnsi" w:cs="Arial"/>
          <w:sz w:val="20"/>
          <w:szCs w:val="20"/>
        </w:rPr>
        <w:t>-</w:t>
      </w:r>
      <w:r>
        <w:rPr>
          <w:rFonts w:asciiTheme="minorHAnsi" w:hAnsiTheme="minorHAnsi" w:cs="Arial"/>
          <w:sz w:val="20"/>
          <w:szCs w:val="20"/>
        </w:rPr>
        <w:t xml:space="preserve"> v I. pol. r. 2019 pokračovaly projekční práce na DÚR, probíhají jednání se společností Innogy</w:t>
      </w:r>
      <w:r w:rsidR="00DD0B32">
        <w:rPr>
          <w:rFonts w:asciiTheme="minorHAnsi" w:hAnsiTheme="minorHAnsi" w:cs="Arial"/>
          <w:sz w:val="20"/>
          <w:szCs w:val="20"/>
        </w:rPr>
        <w:t xml:space="preserve"> týkající se majetkoprávní problematiky budoucího vlastnictví a provozování</w:t>
      </w:r>
    </w:p>
    <w:p w:rsidR="00713874" w:rsidRDefault="00713874" w:rsidP="008A42ED">
      <w:pPr>
        <w:pStyle w:val="Odstavecseseznamem"/>
        <w:numPr>
          <w:ilvl w:val="1"/>
          <w:numId w:val="6"/>
        </w:numPr>
        <w:spacing w:after="120"/>
        <w:ind w:left="567" w:hanging="283"/>
        <w:jc w:val="both"/>
        <w:rPr>
          <w:rFonts w:asciiTheme="minorHAnsi" w:hAnsiTheme="minorHAnsi" w:cs="Arial"/>
          <w:sz w:val="20"/>
          <w:szCs w:val="20"/>
        </w:rPr>
      </w:pPr>
      <w:r>
        <w:rPr>
          <w:rFonts w:asciiTheme="minorHAnsi" w:hAnsiTheme="minorHAnsi" w:cs="Arial"/>
          <w:sz w:val="20"/>
          <w:szCs w:val="20"/>
        </w:rPr>
        <w:t xml:space="preserve">zprovoznění STL plynovodu ve vlastnictví města z důvodu napojení Ostrava </w:t>
      </w:r>
      <w:proofErr w:type="spellStart"/>
      <w:r>
        <w:rPr>
          <w:rFonts w:asciiTheme="minorHAnsi" w:hAnsiTheme="minorHAnsi" w:cs="Arial"/>
          <w:sz w:val="20"/>
          <w:szCs w:val="20"/>
        </w:rPr>
        <w:t>Airport</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Multimodal</w:t>
      </w:r>
      <w:proofErr w:type="spellEnd"/>
      <w:r>
        <w:rPr>
          <w:rFonts w:asciiTheme="minorHAnsi" w:hAnsiTheme="minorHAnsi" w:cs="Arial"/>
          <w:sz w:val="20"/>
          <w:szCs w:val="20"/>
        </w:rPr>
        <w:t xml:space="preserve"> Park (nově budované haly SO 02 a SO 06), uzavření nájemní smlouvy na plynárenské zařízení se společností </w:t>
      </w:r>
      <w:proofErr w:type="spellStart"/>
      <w:r>
        <w:rPr>
          <w:rFonts w:asciiTheme="minorHAnsi" w:hAnsiTheme="minorHAnsi" w:cs="Arial"/>
          <w:sz w:val="20"/>
          <w:szCs w:val="20"/>
        </w:rPr>
        <w:t>GasNet</w:t>
      </w:r>
      <w:proofErr w:type="spellEnd"/>
    </w:p>
    <w:p w:rsidR="00BB2BD6" w:rsidRPr="004F0193" w:rsidRDefault="00794FD4" w:rsidP="00794FD4">
      <w:pPr>
        <w:pStyle w:val="Odstavecseseznamem"/>
        <w:numPr>
          <w:ilvl w:val="1"/>
          <w:numId w:val="6"/>
        </w:numPr>
        <w:spacing w:after="120"/>
        <w:ind w:left="567" w:hanging="283"/>
        <w:jc w:val="both"/>
        <w:rPr>
          <w:rFonts w:asciiTheme="minorHAnsi" w:hAnsiTheme="minorHAnsi" w:cs="Arial"/>
          <w:sz w:val="20"/>
          <w:szCs w:val="20"/>
        </w:rPr>
      </w:pPr>
      <w:r>
        <w:rPr>
          <w:rFonts w:asciiTheme="minorHAnsi" w:hAnsiTheme="minorHAnsi" w:cs="Arial"/>
          <w:sz w:val="20"/>
          <w:szCs w:val="20"/>
        </w:rPr>
        <w:t>e</w:t>
      </w:r>
      <w:r w:rsidRPr="00794FD4">
        <w:rPr>
          <w:rFonts w:asciiTheme="minorHAnsi" w:hAnsiTheme="minorHAnsi" w:cs="Arial"/>
          <w:sz w:val="20"/>
          <w:szCs w:val="20"/>
        </w:rPr>
        <w:t xml:space="preserve">lektrická energie pro tzv. </w:t>
      </w:r>
      <w:r w:rsidRPr="00794FD4">
        <w:rPr>
          <w:rFonts w:asciiTheme="minorHAnsi" w:hAnsiTheme="minorHAnsi" w:cs="Arial"/>
          <w:b/>
          <w:sz w:val="20"/>
          <w:szCs w:val="20"/>
        </w:rPr>
        <w:t>Malou rozvojovou zónu</w:t>
      </w:r>
      <w:r w:rsidRPr="00794FD4">
        <w:rPr>
          <w:rFonts w:asciiTheme="minorHAnsi" w:hAnsiTheme="minorHAnsi" w:cs="Arial"/>
          <w:sz w:val="20"/>
          <w:szCs w:val="20"/>
        </w:rPr>
        <w:t xml:space="preserve"> (plánovaná kapacita 20 MW) </w:t>
      </w:r>
      <w:r>
        <w:rPr>
          <w:rFonts w:asciiTheme="minorHAnsi" w:hAnsiTheme="minorHAnsi" w:cs="Arial"/>
          <w:sz w:val="20"/>
          <w:szCs w:val="20"/>
        </w:rPr>
        <w:t>-</w:t>
      </w:r>
      <w:r w:rsidRPr="00794FD4">
        <w:rPr>
          <w:rFonts w:asciiTheme="minorHAnsi" w:hAnsiTheme="minorHAnsi" w:cs="Arial"/>
          <w:sz w:val="20"/>
          <w:szCs w:val="20"/>
        </w:rPr>
        <w:t xml:space="preserve"> připravena DÚR, k podání žádosti o ÚR nutno dořešit věcná břemena s Moravskoslezským krajem a SS MSK (zajišťuje SMO); zpracovaná DÚR bude dle dohody převedena městem na společnost ČEZ </w:t>
      </w:r>
      <w:r>
        <w:rPr>
          <w:rFonts w:asciiTheme="minorHAnsi" w:hAnsiTheme="minorHAnsi" w:cs="Arial"/>
          <w:sz w:val="20"/>
          <w:szCs w:val="20"/>
        </w:rPr>
        <w:t>-</w:t>
      </w:r>
      <w:r w:rsidRPr="00794FD4">
        <w:rPr>
          <w:rFonts w:asciiTheme="minorHAnsi" w:hAnsiTheme="minorHAnsi" w:cs="Arial"/>
          <w:sz w:val="20"/>
          <w:szCs w:val="20"/>
        </w:rPr>
        <w:t xml:space="preserve"> důvodem zahájení projektování před příchodem konkrétního investora byla eliminace rizika omezení vhodné trasy vedení VN stavbou obchvatu </w:t>
      </w:r>
      <w:r>
        <w:rPr>
          <w:rFonts w:asciiTheme="minorHAnsi" w:hAnsiTheme="minorHAnsi" w:cs="Arial"/>
          <w:sz w:val="20"/>
          <w:szCs w:val="20"/>
        </w:rPr>
        <w:t xml:space="preserve">Mošnova </w:t>
      </w:r>
      <w:r w:rsidRPr="00794FD4">
        <w:rPr>
          <w:rFonts w:asciiTheme="minorHAnsi" w:hAnsiTheme="minorHAnsi" w:cs="Arial"/>
          <w:sz w:val="20"/>
          <w:szCs w:val="20"/>
        </w:rPr>
        <w:t>I/58.</w:t>
      </w:r>
      <w:r w:rsidR="004F0193" w:rsidRPr="004F0193">
        <w:rPr>
          <w:rFonts w:asciiTheme="minorHAnsi" w:hAnsiTheme="minorHAnsi" w:cs="Arial"/>
          <w:sz w:val="20"/>
          <w:szCs w:val="20"/>
        </w:rPr>
        <w:t xml:space="preserve"> </w:t>
      </w:r>
    </w:p>
    <w:p w:rsidR="00FA2AED" w:rsidRDefault="00FA2AED" w:rsidP="00FA2AED">
      <w:pPr>
        <w:ind w:left="284"/>
        <w:jc w:val="both"/>
        <w:rPr>
          <w:rFonts w:asciiTheme="minorHAnsi" w:hAnsiTheme="minorHAnsi" w:cs="Arial"/>
          <w:sz w:val="20"/>
          <w:szCs w:val="20"/>
        </w:rPr>
      </w:pPr>
    </w:p>
    <w:p w:rsidR="00345E13" w:rsidRDefault="00345E13" w:rsidP="00FA2AED">
      <w:pPr>
        <w:ind w:left="284"/>
        <w:jc w:val="both"/>
        <w:rPr>
          <w:rFonts w:asciiTheme="minorHAnsi" w:hAnsiTheme="minorHAnsi" w:cs="Arial"/>
          <w:sz w:val="20"/>
          <w:szCs w:val="20"/>
        </w:rPr>
      </w:pPr>
    </w:p>
    <w:p w:rsidR="00345E13" w:rsidRPr="00FA2AED" w:rsidRDefault="00345E13" w:rsidP="00FA2AED">
      <w:pPr>
        <w:ind w:left="284"/>
        <w:jc w:val="both"/>
        <w:rPr>
          <w:rFonts w:asciiTheme="minorHAnsi" w:hAnsiTheme="minorHAnsi" w:cs="Arial"/>
          <w:sz w:val="20"/>
          <w:szCs w:val="20"/>
        </w:rPr>
      </w:pPr>
    </w:p>
    <w:p w:rsidR="00E5359F" w:rsidRDefault="00E5359F" w:rsidP="00E5359F">
      <w:pPr>
        <w:ind w:left="284"/>
        <w:jc w:val="both"/>
        <w:rPr>
          <w:rFonts w:asciiTheme="minorHAnsi" w:hAnsiTheme="minorHAnsi" w:cs="Arial"/>
          <w:sz w:val="20"/>
          <w:szCs w:val="20"/>
        </w:rPr>
      </w:pPr>
    </w:p>
    <w:p w:rsidR="002B4039" w:rsidRPr="002B4039" w:rsidRDefault="002B4039" w:rsidP="002B4039">
      <w:pPr>
        <w:pStyle w:val="Zkladntext"/>
        <w:numPr>
          <w:ilvl w:val="0"/>
          <w:numId w:val="2"/>
        </w:numPr>
        <w:spacing w:after="120"/>
        <w:ind w:left="284" w:hanging="284"/>
        <w:rPr>
          <w:rFonts w:asciiTheme="minorHAnsi" w:hAnsiTheme="minorHAnsi" w:cs="Arial"/>
          <w:b/>
          <w:sz w:val="20"/>
          <w:szCs w:val="20"/>
        </w:rPr>
      </w:pPr>
      <w:r w:rsidRPr="002B4039">
        <w:rPr>
          <w:rFonts w:asciiTheme="minorHAnsi" w:hAnsiTheme="minorHAnsi" w:cs="Arial"/>
          <w:b/>
          <w:sz w:val="20"/>
          <w:szCs w:val="20"/>
        </w:rPr>
        <w:lastRenderedPageBreak/>
        <w:t xml:space="preserve">dotační projekty v PZ Mošnov </w:t>
      </w:r>
    </w:p>
    <w:p w:rsidR="002B4039" w:rsidRPr="00F747C1" w:rsidRDefault="002B4039" w:rsidP="002B4039">
      <w:pPr>
        <w:pStyle w:val="Odstavecseseznamem"/>
        <w:rPr>
          <w:b/>
          <w:sz w:val="20"/>
          <w:szCs w:val="20"/>
        </w:rPr>
      </w:pPr>
    </w:p>
    <w:p w:rsidR="002B4039" w:rsidRPr="002B4039" w:rsidRDefault="002B4039" w:rsidP="003A0B35">
      <w:pPr>
        <w:pStyle w:val="Odstavecseseznamem"/>
        <w:numPr>
          <w:ilvl w:val="0"/>
          <w:numId w:val="28"/>
        </w:numPr>
        <w:spacing w:after="160" w:line="259" w:lineRule="auto"/>
        <w:ind w:hanging="720"/>
        <w:contextualSpacing/>
        <w:jc w:val="both"/>
        <w:rPr>
          <w:rFonts w:asciiTheme="minorHAnsi" w:eastAsia="Times New Roman" w:hAnsiTheme="minorHAnsi" w:cs="Arial"/>
          <w:sz w:val="20"/>
          <w:szCs w:val="20"/>
        </w:rPr>
      </w:pPr>
      <w:r w:rsidRPr="003A0B35">
        <w:rPr>
          <w:rFonts w:asciiTheme="minorHAnsi" w:eastAsia="Times New Roman" w:hAnsiTheme="minorHAnsi" w:cs="Arial"/>
          <w:b/>
          <w:sz w:val="20"/>
          <w:szCs w:val="20"/>
        </w:rPr>
        <w:t>SPZ Ostrava - Mošnov - technická infrastruktura, II. etapa</w:t>
      </w:r>
      <w:r w:rsidRPr="002B4039">
        <w:rPr>
          <w:rFonts w:asciiTheme="minorHAnsi" w:eastAsia="Times New Roman" w:hAnsiTheme="minorHAnsi" w:cs="Arial"/>
          <w:sz w:val="20"/>
          <w:szCs w:val="20"/>
        </w:rPr>
        <w:t xml:space="preserve"> - projekt zahrnoval vybudování retenční nádrže pro plochu K zóny a autobusových zastávek u závodů </w:t>
      </w:r>
      <w:proofErr w:type="spellStart"/>
      <w:r w:rsidRPr="002B4039">
        <w:rPr>
          <w:rFonts w:asciiTheme="minorHAnsi" w:eastAsia="Times New Roman" w:hAnsiTheme="minorHAnsi" w:cs="Arial"/>
          <w:sz w:val="20"/>
          <w:szCs w:val="20"/>
        </w:rPr>
        <w:t>Mobis</w:t>
      </w:r>
      <w:proofErr w:type="spellEnd"/>
      <w:r w:rsidRPr="002B4039">
        <w:rPr>
          <w:rFonts w:asciiTheme="minorHAnsi" w:eastAsia="Times New Roman" w:hAnsiTheme="minorHAnsi" w:cs="Arial"/>
          <w:sz w:val="20"/>
          <w:szCs w:val="20"/>
        </w:rPr>
        <w:t xml:space="preserve"> a MAHLE </w:t>
      </w:r>
      <w:proofErr w:type="spellStart"/>
      <w:r w:rsidRPr="002B4039">
        <w:rPr>
          <w:rFonts w:asciiTheme="minorHAnsi" w:eastAsia="Times New Roman" w:hAnsiTheme="minorHAnsi" w:cs="Arial"/>
          <w:sz w:val="20"/>
          <w:szCs w:val="20"/>
        </w:rPr>
        <w:t>Behr</w:t>
      </w:r>
      <w:proofErr w:type="spellEnd"/>
      <w:r w:rsidRPr="002B4039">
        <w:rPr>
          <w:rFonts w:asciiTheme="minorHAnsi" w:eastAsia="Times New Roman" w:hAnsiTheme="minorHAnsi" w:cs="Arial"/>
          <w:sz w:val="20"/>
          <w:szCs w:val="20"/>
        </w:rPr>
        <w:t xml:space="preserve">, spolufinancování bylo stejně jako u I. etapy zajištěno z Programu na podporu podnikatelských nemovitostí a infrastruktury, jehož Správcem je Ministerstvo průmyslu a obchodu. Realizace projektu byla fyzicky ukončena k 31. 12. 2018 a v červnu 2019 byly poskytovateli dotace odeslány podklady k závěrečnému vyhodnocení projektu. Obdobně jako na I. etapu se i na tento projekt vztahuje povinná </w:t>
      </w:r>
      <w:proofErr w:type="gramStart"/>
      <w:r w:rsidRPr="002B4039">
        <w:rPr>
          <w:rFonts w:asciiTheme="minorHAnsi" w:eastAsia="Times New Roman" w:hAnsiTheme="minorHAnsi" w:cs="Arial"/>
          <w:sz w:val="20"/>
          <w:szCs w:val="20"/>
        </w:rPr>
        <w:t>10-letá</w:t>
      </w:r>
      <w:proofErr w:type="gramEnd"/>
      <w:r w:rsidRPr="002B4039">
        <w:rPr>
          <w:rFonts w:asciiTheme="minorHAnsi" w:eastAsia="Times New Roman" w:hAnsiTheme="minorHAnsi" w:cs="Arial"/>
          <w:sz w:val="20"/>
          <w:szCs w:val="20"/>
        </w:rPr>
        <w:t xml:space="preserve"> udržitelnost, tj. do roku 2029. </w:t>
      </w:r>
    </w:p>
    <w:p w:rsidR="002B4039" w:rsidRPr="002B4039" w:rsidRDefault="002B4039" w:rsidP="002B4039">
      <w:pPr>
        <w:ind w:left="708"/>
        <w:rPr>
          <w:rFonts w:asciiTheme="minorHAnsi" w:hAnsiTheme="minorHAnsi" w:cs="Arial"/>
          <w:sz w:val="20"/>
          <w:szCs w:val="20"/>
        </w:rPr>
      </w:pPr>
      <w:r w:rsidRPr="002B4039">
        <w:rPr>
          <w:rFonts w:asciiTheme="minorHAnsi" w:hAnsiTheme="minorHAnsi" w:cs="Arial"/>
          <w:sz w:val="20"/>
          <w:szCs w:val="20"/>
        </w:rPr>
        <w:t xml:space="preserve">Celkové způsobilé náklady činily 56,5 mil. Kč, z toho přidělená dotace byla ve výši 36,3 mil. Kč. </w:t>
      </w:r>
    </w:p>
    <w:p w:rsidR="002B4039" w:rsidRPr="00F747C1" w:rsidRDefault="002B4039" w:rsidP="002B4039">
      <w:pPr>
        <w:ind w:left="708"/>
        <w:rPr>
          <w:sz w:val="20"/>
          <w:szCs w:val="20"/>
        </w:rPr>
      </w:pPr>
    </w:p>
    <w:p w:rsidR="002B4039" w:rsidRPr="002B4039" w:rsidRDefault="002B4039" w:rsidP="007F178A">
      <w:pPr>
        <w:pStyle w:val="Odstavecseseznamem"/>
        <w:numPr>
          <w:ilvl w:val="0"/>
          <w:numId w:val="28"/>
        </w:numPr>
        <w:spacing w:after="160" w:line="259" w:lineRule="auto"/>
        <w:ind w:hanging="720"/>
        <w:contextualSpacing/>
        <w:jc w:val="both"/>
        <w:rPr>
          <w:rFonts w:asciiTheme="minorHAnsi" w:eastAsia="Times New Roman" w:hAnsiTheme="minorHAnsi" w:cs="Arial"/>
          <w:sz w:val="20"/>
          <w:szCs w:val="20"/>
        </w:rPr>
      </w:pPr>
      <w:r w:rsidRPr="003A0B35">
        <w:rPr>
          <w:rFonts w:asciiTheme="minorHAnsi" w:eastAsia="Times New Roman" w:hAnsiTheme="minorHAnsi" w:cs="Arial"/>
          <w:b/>
          <w:sz w:val="20"/>
          <w:szCs w:val="20"/>
        </w:rPr>
        <w:t>Demolice budov v obchodně-podnikatelském areálu Ostrava - Mošnov</w:t>
      </w:r>
      <w:r w:rsidRPr="002B4039">
        <w:rPr>
          <w:rFonts w:asciiTheme="minorHAnsi" w:eastAsia="Times New Roman" w:hAnsiTheme="minorHAnsi" w:cs="Arial"/>
          <w:sz w:val="20"/>
          <w:szCs w:val="20"/>
        </w:rPr>
        <w:t xml:space="preserve"> </w:t>
      </w:r>
      <w:r w:rsidR="003A0B35">
        <w:rPr>
          <w:rFonts w:asciiTheme="minorHAnsi" w:eastAsia="Times New Roman" w:hAnsiTheme="minorHAnsi" w:cs="Arial"/>
          <w:sz w:val="20"/>
          <w:szCs w:val="20"/>
        </w:rPr>
        <w:t>-</w:t>
      </w:r>
      <w:r w:rsidRPr="002B4039">
        <w:rPr>
          <w:rFonts w:asciiTheme="minorHAnsi" w:eastAsia="Times New Roman" w:hAnsiTheme="minorHAnsi" w:cs="Arial"/>
          <w:sz w:val="20"/>
          <w:szCs w:val="20"/>
        </w:rPr>
        <w:t xml:space="preserve"> projekt je východiskem vznikající koncepce budoucího využití obchodně-podnikatelského areálu, která směřuje k postupné estetizaci lokality v bezprostřední blízkosti letiště a vytvoření moderní komerční zóny na letiště navazující. Jedná se o demolici tří chátrajících a stavebně nevyhovujících objektů v areálu na ploše 5 744 m2 a následnou regeneraci plochy pro moderní záměry investorů.  </w:t>
      </w:r>
    </w:p>
    <w:p w:rsidR="002B4039" w:rsidRDefault="002B4039" w:rsidP="007F178A">
      <w:pPr>
        <w:ind w:left="708"/>
        <w:jc w:val="both"/>
        <w:rPr>
          <w:rFonts w:asciiTheme="minorHAnsi" w:hAnsiTheme="minorHAnsi" w:cs="Arial"/>
          <w:sz w:val="20"/>
          <w:szCs w:val="20"/>
        </w:rPr>
      </w:pPr>
      <w:r w:rsidRPr="002B4039">
        <w:rPr>
          <w:rFonts w:asciiTheme="minorHAnsi" w:hAnsiTheme="minorHAnsi" w:cs="Arial"/>
          <w:sz w:val="20"/>
          <w:szCs w:val="20"/>
        </w:rPr>
        <w:t xml:space="preserve">V červnu 2019 město podalo žádost o zařazení do dotačního programu „Regenerace a podnikatelské využití brownfieldů“ (2. stupeň žádosti o dotaci), aktuálně se očekává vyjádření poskytovatele dotace (Ministerstvo průmyslu a obchodu), následovat bude žádost o registraci projektu. Poskytnutá dotace může dosáhnout až 70% způsobilých výdajů projektu, předpokládaný finanční objem projektu činí </w:t>
      </w:r>
      <w:r w:rsidR="007F178A">
        <w:rPr>
          <w:rFonts w:asciiTheme="minorHAnsi" w:hAnsiTheme="minorHAnsi" w:cs="Arial"/>
          <w:sz w:val="20"/>
          <w:szCs w:val="20"/>
        </w:rPr>
        <w:t xml:space="preserve">4,4 mil. </w:t>
      </w:r>
      <w:r w:rsidRPr="002B4039">
        <w:rPr>
          <w:rFonts w:asciiTheme="minorHAnsi" w:hAnsiTheme="minorHAnsi" w:cs="Arial"/>
          <w:sz w:val="20"/>
          <w:szCs w:val="20"/>
        </w:rPr>
        <w:t>Kč</w:t>
      </w:r>
      <w:r w:rsidR="007F178A">
        <w:rPr>
          <w:rFonts w:asciiTheme="minorHAnsi" w:hAnsiTheme="minorHAnsi" w:cs="Arial"/>
          <w:sz w:val="20"/>
          <w:szCs w:val="20"/>
        </w:rPr>
        <w:t xml:space="preserve"> vč. DPH</w:t>
      </w:r>
      <w:r w:rsidRPr="002B4039">
        <w:rPr>
          <w:rFonts w:asciiTheme="minorHAnsi" w:hAnsiTheme="minorHAnsi" w:cs="Arial"/>
          <w:sz w:val="20"/>
          <w:szCs w:val="20"/>
        </w:rPr>
        <w:t xml:space="preserve">. </w:t>
      </w:r>
    </w:p>
    <w:p w:rsidR="007F178A" w:rsidRDefault="007F178A" w:rsidP="007F178A">
      <w:pPr>
        <w:ind w:left="708"/>
        <w:jc w:val="both"/>
        <w:rPr>
          <w:rFonts w:asciiTheme="minorHAnsi" w:hAnsiTheme="minorHAnsi" w:cs="Arial"/>
          <w:sz w:val="20"/>
          <w:szCs w:val="20"/>
        </w:rPr>
      </w:pPr>
      <w:r>
        <w:rPr>
          <w:rFonts w:asciiTheme="minorHAnsi" w:hAnsiTheme="minorHAnsi" w:cs="Arial"/>
          <w:sz w:val="20"/>
          <w:szCs w:val="20"/>
        </w:rPr>
        <w:t xml:space="preserve">Zahájení stavby se předpokládá v závislosti na rychlosti schválení dotace od měsíce 11/2019, případně </w:t>
      </w:r>
      <w:r>
        <w:rPr>
          <w:rFonts w:asciiTheme="minorHAnsi" w:hAnsiTheme="minorHAnsi" w:cs="Arial"/>
          <w:sz w:val="20"/>
          <w:szCs w:val="20"/>
        </w:rPr>
        <w:br/>
        <w:t xml:space="preserve">v I. čtvrtletí r. 2020. </w:t>
      </w:r>
    </w:p>
    <w:p w:rsidR="000E2FAA" w:rsidRDefault="000E2FAA" w:rsidP="007F178A">
      <w:pPr>
        <w:ind w:left="708"/>
        <w:jc w:val="both"/>
        <w:rPr>
          <w:rFonts w:asciiTheme="minorHAnsi" w:hAnsiTheme="minorHAnsi" w:cs="Arial"/>
          <w:sz w:val="20"/>
          <w:szCs w:val="20"/>
        </w:rPr>
      </w:pPr>
    </w:p>
    <w:p w:rsidR="000E2FAA" w:rsidRDefault="000E2FAA" w:rsidP="007F178A">
      <w:pPr>
        <w:ind w:left="708"/>
        <w:jc w:val="both"/>
        <w:rPr>
          <w:rFonts w:asciiTheme="minorHAnsi" w:hAnsiTheme="minorHAnsi" w:cs="Arial"/>
          <w:b/>
          <w:sz w:val="20"/>
          <w:szCs w:val="20"/>
        </w:rPr>
      </w:pPr>
      <w:r w:rsidRPr="000E2FAA">
        <w:rPr>
          <w:rFonts w:asciiTheme="minorHAnsi" w:hAnsiTheme="minorHAnsi" w:cs="Arial"/>
          <w:b/>
          <w:sz w:val="20"/>
          <w:szCs w:val="20"/>
        </w:rPr>
        <w:t xml:space="preserve">Sumarizace celkových prodejů v zóně a podmínky dotace </w:t>
      </w:r>
    </w:p>
    <w:p w:rsidR="000E2FAA" w:rsidRDefault="000E2FAA" w:rsidP="007F178A">
      <w:pPr>
        <w:ind w:left="708"/>
        <w:jc w:val="both"/>
        <w:rPr>
          <w:rFonts w:asciiTheme="minorHAnsi" w:hAnsiTheme="minorHAnsi" w:cs="Arial"/>
          <w:b/>
          <w:sz w:val="20"/>
          <w:szCs w:val="20"/>
        </w:rPr>
      </w:pPr>
    </w:p>
    <w:p w:rsidR="000E2FAA" w:rsidRPr="00D84666" w:rsidRDefault="00D84666" w:rsidP="009552E7">
      <w:pPr>
        <w:pStyle w:val="Odstavecseseznamem"/>
        <w:numPr>
          <w:ilvl w:val="0"/>
          <w:numId w:val="2"/>
        </w:numPr>
        <w:spacing w:after="120"/>
        <w:ind w:left="709" w:hanging="1004"/>
        <w:jc w:val="both"/>
        <w:rPr>
          <w:rFonts w:asciiTheme="minorHAnsi" w:hAnsiTheme="minorHAnsi" w:cs="Arial"/>
          <w:sz w:val="20"/>
          <w:szCs w:val="20"/>
        </w:rPr>
      </w:pPr>
      <w:r w:rsidRPr="00D84666">
        <w:rPr>
          <w:rFonts w:asciiTheme="minorHAnsi" w:hAnsiTheme="minorHAnsi" w:cs="Arial"/>
          <w:sz w:val="20"/>
          <w:szCs w:val="20"/>
        </w:rPr>
        <w:t>p</w:t>
      </w:r>
      <w:r w:rsidR="000E2FAA" w:rsidRPr="00D84666">
        <w:rPr>
          <w:rFonts w:asciiTheme="minorHAnsi" w:hAnsiTheme="minorHAnsi" w:cs="Arial"/>
          <w:sz w:val="20"/>
          <w:szCs w:val="20"/>
        </w:rPr>
        <w:t xml:space="preserve">okud </w:t>
      </w:r>
      <w:r w:rsidRPr="00D84666">
        <w:rPr>
          <w:rFonts w:asciiTheme="minorHAnsi" w:hAnsiTheme="minorHAnsi" w:cs="Arial"/>
          <w:sz w:val="20"/>
          <w:szCs w:val="20"/>
        </w:rPr>
        <w:t xml:space="preserve">realizované </w:t>
      </w:r>
      <w:r w:rsidR="000E2FAA" w:rsidRPr="00D84666">
        <w:rPr>
          <w:rFonts w:asciiTheme="minorHAnsi" w:hAnsiTheme="minorHAnsi" w:cs="Arial"/>
          <w:sz w:val="20"/>
          <w:szCs w:val="20"/>
        </w:rPr>
        <w:t xml:space="preserve">příjmy z celkových prodejů </w:t>
      </w:r>
      <w:r w:rsidRPr="00D84666">
        <w:rPr>
          <w:rFonts w:asciiTheme="minorHAnsi" w:hAnsiTheme="minorHAnsi" w:cs="Arial"/>
          <w:sz w:val="20"/>
          <w:szCs w:val="20"/>
        </w:rPr>
        <w:t xml:space="preserve">v zóně dosáhnou míry spolufinancování města Ostravy, které bylo poskytnuto k dotaci státu na vybudování SPZ Ostrava </w:t>
      </w:r>
      <w:r>
        <w:rPr>
          <w:rFonts w:asciiTheme="minorHAnsi" w:hAnsiTheme="minorHAnsi" w:cs="Arial"/>
          <w:sz w:val="20"/>
          <w:szCs w:val="20"/>
        </w:rPr>
        <w:t>-</w:t>
      </w:r>
      <w:r w:rsidRPr="00D84666">
        <w:rPr>
          <w:rFonts w:asciiTheme="minorHAnsi" w:hAnsiTheme="minorHAnsi" w:cs="Arial"/>
          <w:sz w:val="20"/>
          <w:szCs w:val="20"/>
        </w:rPr>
        <w:t xml:space="preserve"> Mošnov (celkové náklady </w:t>
      </w:r>
      <w:r w:rsidR="00597FA0">
        <w:rPr>
          <w:rFonts w:asciiTheme="minorHAnsi" w:hAnsiTheme="minorHAnsi" w:cs="Arial"/>
          <w:sz w:val="20"/>
          <w:szCs w:val="20"/>
        </w:rPr>
        <w:t xml:space="preserve">pro obě etapy výstavby </w:t>
      </w:r>
      <w:r w:rsidRPr="00D84666">
        <w:rPr>
          <w:rFonts w:asciiTheme="minorHAnsi" w:hAnsiTheme="minorHAnsi" w:cs="Arial"/>
          <w:sz w:val="20"/>
          <w:szCs w:val="20"/>
        </w:rPr>
        <w:t>1</w:t>
      </w:r>
      <w:r w:rsidR="00722661">
        <w:rPr>
          <w:rFonts w:asciiTheme="minorHAnsi" w:hAnsiTheme="minorHAnsi" w:cs="Arial"/>
          <w:sz w:val="20"/>
          <w:szCs w:val="20"/>
        </w:rPr>
        <w:t> 110,6</w:t>
      </w:r>
      <w:r w:rsidRPr="00D84666">
        <w:rPr>
          <w:rFonts w:asciiTheme="minorHAnsi" w:hAnsiTheme="minorHAnsi" w:cs="Arial"/>
          <w:sz w:val="20"/>
          <w:szCs w:val="20"/>
        </w:rPr>
        <w:t xml:space="preserve"> mil. Kč, z toho dotace státu činila </w:t>
      </w:r>
      <w:r w:rsidR="00722661">
        <w:rPr>
          <w:rFonts w:asciiTheme="minorHAnsi" w:hAnsiTheme="minorHAnsi" w:cs="Arial"/>
          <w:sz w:val="20"/>
          <w:szCs w:val="20"/>
        </w:rPr>
        <w:t>823</w:t>
      </w:r>
      <w:r w:rsidR="00211C15">
        <w:rPr>
          <w:rFonts w:asciiTheme="minorHAnsi" w:hAnsiTheme="minorHAnsi" w:cs="Arial"/>
          <w:sz w:val="20"/>
          <w:szCs w:val="20"/>
        </w:rPr>
        <w:t>,3</w:t>
      </w:r>
      <w:r w:rsidRPr="00D84666">
        <w:rPr>
          <w:rFonts w:asciiTheme="minorHAnsi" w:hAnsiTheme="minorHAnsi" w:cs="Arial"/>
          <w:sz w:val="20"/>
          <w:szCs w:val="20"/>
        </w:rPr>
        <w:t xml:space="preserve"> mil. Kč a podíl města </w:t>
      </w:r>
      <w:r w:rsidR="00211C15">
        <w:rPr>
          <w:rFonts w:asciiTheme="minorHAnsi" w:hAnsiTheme="minorHAnsi" w:cs="Arial"/>
          <w:sz w:val="20"/>
          <w:szCs w:val="20"/>
        </w:rPr>
        <w:t>287,3</w:t>
      </w:r>
      <w:r w:rsidRPr="00D84666">
        <w:rPr>
          <w:rFonts w:asciiTheme="minorHAnsi" w:hAnsiTheme="minorHAnsi" w:cs="Arial"/>
          <w:sz w:val="20"/>
          <w:szCs w:val="20"/>
        </w:rPr>
        <w:t xml:space="preserve"> mil. Kč), je město jako příjemce dotace povinno veškeré příjmy nad rámec svého spolufinancování vrátit do státního rozpočtu</w:t>
      </w:r>
      <w:r w:rsidR="00AD5107">
        <w:rPr>
          <w:rFonts w:asciiTheme="minorHAnsi" w:hAnsiTheme="minorHAnsi" w:cs="Arial"/>
          <w:sz w:val="20"/>
          <w:szCs w:val="20"/>
        </w:rPr>
        <w:t>.</w:t>
      </w:r>
    </w:p>
    <w:p w:rsidR="00D84666" w:rsidRDefault="00D84666" w:rsidP="009552E7">
      <w:pPr>
        <w:pStyle w:val="Odstavecseseznamem"/>
        <w:numPr>
          <w:ilvl w:val="0"/>
          <w:numId w:val="2"/>
        </w:numPr>
        <w:spacing w:after="120"/>
        <w:ind w:left="709" w:hanging="1004"/>
        <w:jc w:val="both"/>
        <w:rPr>
          <w:rFonts w:asciiTheme="minorHAnsi" w:hAnsiTheme="minorHAnsi" w:cs="Arial"/>
          <w:sz w:val="20"/>
          <w:szCs w:val="20"/>
        </w:rPr>
      </w:pPr>
      <w:r w:rsidRPr="00D84666">
        <w:rPr>
          <w:rFonts w:asciiTheme="minorHAnsi" w:hAnsiTheme="minorHAnsi" w:cs="Arial"/>
          <w:sz w:val="20"/>
          <w:szCs w:val="20"/>
        </w:rPr>
        <w:t xml:space="preserve">aktuální bilance prodejů v zóně je: </w:t>
      </w:r>
      <w:r w:rsidR="00067B7D">
        <w:rPr>
          <w:rFonts w:asciiTheme="minorHAnsi" w:hAnsiTheme="minorHAnsi" w:cs="Arial"/>
          <w:sz w:val="20"/>
          <w:szCs w:val="20"/>
        </w:rPr>
        <w:t xml:space="preserve">197 mil. Kč </w:t>
      </w:r>
    </w:p>
    <w:p w:rsidR="009552E7" w:rsidRPr="00D84666" w:rsidRDefault="009552E7" w:rsidP="009552E7">
      <w:pPr>
        <w:pStyle w:val="Odstavecseseznamem"/>
        <w:numPr>
          <w:ilvl w:val="0"/>
          <w:numId w:val="2"/>
        </w:numPr>
        <w:spacing w:after="120"/>
        <w:ind w:left="709" w:hanging="1004"/>
        <w:jc w:val="both"/>
        <w:rPr>
          <w:rFonts w:asciiTheme="minorHAnsi" w:hAnsiTheme="minorHAnsi" w:cs="Arial"/>
          <w:sz w:val="20"/>
          <w:szCs w:val="20"/>
        </w:rPr>
      </w:pPr>
      <w:r>
        <w:rPr>
          <w:rFonts w:asciiTheme="minorHAnsi" w:hAnsiTheme="minorHAnsi" w:cs="Arial"/>
          <w:sz w:val="20"/>
          <w:szCs w:val="20"/>
        </w:rPr>
        <w:t xml:space="preserve">odbor strategického rozvoje prověřuje s poskytovatelem dotace variantu, kdy prostředky získané prodeji pozemků ve výši nad rámec podílu města by si město po dobu udržitelnosti projektu ponechalo na účelově vázaném účtu, který by sloužil výhradně pro údržbu, správu a další rozvoj strategické průmyslové zóny; nevyužité prostředky by se pak vracely státu teprve po uplynutí </w:t>
      </w:r>
      <w:proofErr w:type="gramStart"/>
      <w:r>
        <w:rPr>
          <w:rFonts w:asciiTheme="minorHAnsi" w:hAnsiTheme="minorHAnsi" w:cs="Arial"/>
          <w:sz w:val="20"/>
          <w:szCs w:val="20"/>
        </w:rPr>
        <w:t>10-leté</w:t>
      </w:r>
      <w:proofErr w:type="gramEnd"/>
      <w:r>
        <w:rPr>
          <w:rFonts w:asciiTheme="minorHAnsi" w:hAnsiTheme="minorHAnsi" w:cs="Arial"/>
          <w:sz w:val="20"/>
          <w:szCs w:val="20"/>
        </w:rPr>
        <w:t xml:space="preserve"> udržitelnosti projektu.</w:t>
      </w:r>
    </w:p>
    <w:p w:rsidR="00A5471D" w:rsidRPr="00A5471D" w:rsidRDefault="00A5471D" w:rsidP="009552E7">
      <w:pPr>
        <w:spacing w:after="120"/>
        <w:ind w:left="284"/>
        <w:jc w:val="both"/>
        <w:rPr>
          <w:rFonts w:asciiTheme="minorHAnsi" w:hAnsiTheme="minorHAnsi" w:cs="Arial"/>
          <w:sz w:val="20"/>
          <w:szCs w:val="20"/>
        </w:rPr>
      </w:pPr>
      <w:r w:rsidRPr="00D84666">
        <w:rPr>
          <w:rFonts w:asciiTheme="minorHAnsi" w:hAnsiTheme="minorHAnsi" w:cs="Arial"/>
          <w:sz w:val="20"/>
          <w:szCs w:val="20"/>
        </w:rPr>
        <w:t xml:space="preserve"> </w:t>
      </w:r>
      <w:r w:rsidR="000E2FAA" w:rsidRPr="00D84666">
        <w:rPr>
          <w:rFonts w:asciiTheme="minorHAnsi" w:hAnsiTheme="minorHAnsi" w:cs="Arial"/>
          <w:sz w:val="20"/>
          <w:szCs w:val="20"/>
        </w:rPr>
        <w:t xml:space="preserve"> </w:t>
      </w:r>
    </w:p>
    <w:p w:rsidR="00022B43" w:rsidRPr="008E27DD" w:rsidRDefault="00A305C6" w:rsidP="008A42ED">
      <w:pPr>
        <w:pStyle w:val="Zkladntext"/>
        <w:numPr>
          <w:ilvl w:val="0"/>
          <w:numId w:val="1"/>
        </w:numPr>
        <w:spacing w:after="120"/>
        <w:ind w:left="641" w:hanging="357"/>
        <w:jc w:val="left"/>
        <w:rPr>
          <w:rFonts w:asciiTheme="minorHAnsi" w:hAnsiTheme="minorHAnsi" w:cs="Arial"/>
          <w:b/>
          <w:sz w:val="22"/>
          <w:szCs w:val="22"/>
        </w:rPr>
      </w:pPr>
      <w:r w:rsidRPr="008E27DD">
        <w:rPr>
          <w:rFonts w:asciiTheme="minorHAnsi" w:hAnsiTheme="minorHAnsi" w:cs="Arial"/>
          <w:b/>
          <w:sz w:val="22"/>
          <w:szCs w:val="22"/>
        </w:rPr>
        <w:t>Rozvojov</w:t>
      </w:r>
      <w:r w:rsidR="00074263" w:rsidRPr="008E27DD">
        <w:rPr>
          <w:rFonts w:asciiTheme="minorHAnsi" w:hAnsiTheme="minorHAnsi" w:cs="Arial"/>
          <w:b/>
          <w:sz w:val="22"/>
          <w:szCs w:val="22"/>
        </w:rPr>
        <w:t>á</w:t>
      </w:r>
      <w:r w:rsidRPr="008E27DD">
        <w:rPr>
          <w:rFonts w:asciiTheme="minorHAnsi" w:hAnsiTheme="minorHAnsi" w:cs="Arial"/>
          <w:b/>
          <w:sz w:val="22"/>
          <w:szCs w:val="22"/>
        </w:rPr>
        <w:t xml:space="preserve"> zón</w:t>
      </w:r>
      <w:r w:rsidR="00074263" w:rsidRPr="008E27DD">
        <w:rPr>
          <w:rFonts w:asciiTheme="minorHAnsi" w:hAnsiTheme="minorHAnsi" w:cs="Arial"/>
          <w:b/>
          <w:sz w:val="22"/>
          <w:szCs w:val="22"/>
        </w:rPr>
        <w:t>a</w:t>
      </w:r>
      <w:r w:rsidRPr="008E27DD">
        <w:rPr>
          <w:rFonts w:asciiTheme="minorHAnsi" w:hAnsiTheme="minorHAnsi" w:cs="Arial"/>
          <w:b/>
          <w:sz w:val="22"/>
          <w:szCs w:val="22"/>
        </w:rPr>
        <w:t xml:space="preserve"> Hrušov </w:t>
      </w:r>
    </w:p>
    <w:p w:rsidR="00A3086B" w:rsidRPr="00253E3C" w:rsidRDefault="000D63DD" w:rsidP="00A3086B">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původně </w:t>
      </w:r>
      <w:r w:rsidR="00A3086B">
        <w:rPr>
          <w:rFonts w:asciiTheme="minorHAnsi" w:hAnsiTheme="minorHAnsi" w:cs="Arial"/>
          <w:sz w:val="20"/>
          <w:szCs w:val="20"/>
        </w:rPr>
        <w:t xml:space="preserve">lokalita </w:t>
      </w:r>
      <w:r>
        <w:rPr>
          <w:rFonts w:asciiTheme="minorHAnsi" w:hAnsiTheme="minorHAnsi" w:cs="Arial"/>
          <w:sz w:val="20"/>
          <w:szCs w:val="20"/>
        </w:rPr>
        <w:t xml:space="preserve">charakteru „sociálního brownfieldu“ </w:t>
      </w:r>
      <w:r w:rsidR="00A3086B">
        <w:rPr>
          <w:rFonts w:asciiTheme="minorHAnsi" w:hAnsiTheme="minorHAnsi" w:cs="Arial"/>
          <w:sz w:val="20"/>
          <w:szCs w:val="20"/>
        </w:rPr>
        <w:t xml:space="preserve">o velikosti 35 ha, k jejíž devastaci a vysídlení </w:t>
      </w:r>
      <w:r>
        <w:rPr>
          <w:rFonts w:asciiTheme="minorHAnsi" w:hAnsiTheme="minorHAnsi" w:cs="Arial"/>
          <w:sz w:val="20"/>
          <w:szCs w:val="20"/>
        </w:rPr>
        <w:t>docházelo</w:t>
      </w:r>
      <w:r w:rsidR="00A3086B">
        <w:rPr>
          <w:rFonts w:asciiTheme="minorHAnsi" w:hAnsiTheme="minorHAnsi" w:cs="Arial"/>
          <w:sz w:val="20"/>
          <w:szCs w:val="20"/>
        </w:rPr>
        <w:t xml:space="preserve"> postupně po povodních v roce 1997</w:t>
      </w:r>
      <w:r w:rsidR="00A3086B" w:rsidRPr="00253E3C">
        <w:rPr>
          <w:rFonts w:asciiTheme="minorHAnsi" w:hAnsiTheme="minorHAnsi" w:cs="Arial"/>
          <w:sz w:val="20"/>
          <w:szCs w:val="20"/>
        </w:rPr>
        <w:t>; území je dle územně plánovací dokumentace funkčně začleněno jako oblast pro lehký průmysl, sklady a drobnou výrobu s vyloučením funkce bydlení;</w:t>
      </w:r>
    </w:p>
    <w:p w:rsidR="00A3086B" w:rsidRPr="00A3086B" w:rsidRDefault="00A3086B" w:rsidP="00EB72F8">
      <w:pPr>
        <w:pStyle w:val="Zkladntext"/>
        <w:numPr>
          <w:ilvl w:val="0"/>
          <w:numId w:val="2"/>
        </w:numPr>
        <w:spacing w:after="120"/>
        <w:ind w:left="284" w:hanging="284"/>
        <w:rPr>
          <w:rFonts w:asciiTheme="minorHAnsi" w:hAnsiTheme="minorHAnsi" w:cs="Arial"/>
          <w:sz w:val="20"/>
          <w:szCs w:val="20"/>
        </w:rPr>
      </w:pPr>
      <w:r w:rsidRPr="00A3086B">
        <w:rPr>
          <w:rFonts w:asciiTheme="minorHAnsi" w:hAnsiTheme="minorHAnsi" w:cs="Arial"/>
          <w:sz w:val="20"/>
          <w:szCs w:val="20"/>
        </w:rPr>
        <w:t>v průběhu r. 2018 proběhla na základě veřejné výzvy developerská soutěž</w:t>
      </w:r>
      <w:r w:rsidR="00EB72F8">
        <w:rPr>
          <w:rFonts w:asciiTheme="minorHAnsi" w:hAnsiTheme="minorHAnsi" w:cs="Arial"/>
          <w:sz w:val="20"/>
          <w:szCs w:val="20"/>
        </w:rPr>
        <w:t xml:space="preserve"> na realizaci investičního záměru</w:t>
      </w:r>
      <w:r w:rsidRPr="00A3086B">
        <w:rPr>
          <w:rFonts w:asciiTheme="minorHAnsi" w:hAnsiTheme="minorHAnsi" w:cs="Arial"/>
          <w:sz w:val="20"/>
          <w:szCs w:val="20"/>
        </w:rPr>
        <w:t xml:space="preserve">, </w:t>
      </w:r>
      <w:r w:rsidR="00EB72F8">
        <w:rPr>
          <w:rFonts w:asciiTheme="minorHAnsi" w:hAnsiTheme="minorHAnsi" w:cs="Arial"/>
          <w:sz w:val="20"/>
          <w:szCs w:val="20"/>
        </w:rPr>
        <w:br/>
      </w:r>
      <w:r w:rsidRPr="00A3086B">
        <w:rPr>
          <w:rFonts w:asciiTheme="minorHAnsi" w:hAnsiTheme="minorHAnsi" w:cs="Arial"/>
          <w:sz w:val="20"/>
          <w:szCs w:val="20"/>
        </w:rPr>
        <w:t>po jejímž vyhodnocení bylo orgány města rozhodnuto o uzavření kupní smlouvy na celé území se společností CONTERA Management s. r. o., a to za cenu 255 mil. Kč bez DPH; kupní smlouva nabyla účinnosti v listopadu 2018;</w:t>
      </w:r>
    </w:p>
    <w:p w:rsidR="001C6345" w:rsidRDefault="001C6345" w:rsidP="001C6345">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návrh řešení území je developerem koncipován jako moderní business park evropské úrovně, v rámci kterého se budou potkávat tradiční výrobní a logistické funkce s moderní high-tech výrobou, výzkumem a vývojem a malým a středním podnikáním; park bude tvořen objekty pro lehký průmysl, </w:t>
      </w:r>
      <w:proofErr w:type="spellStart"/>
      <w:r>
        <w:rPr>
          <w:rFonts w:asciiTheme="minorHAnsi" w:hAnsiTheme="minorHAnsi" w:cs="Arial"/>
          <w:sz w:val="20"/>
          <w:szCs w:val="20"/>
        </w:rPr>
        <w:t>Flexispace</w:t>
      </w:r>
      <w:proofErr w:type="spellEnd"/>
      <w:r>
        <w:rPr>
          <w:rFonts w:asciiTheme="minorHAnsi" w:hAnsiTheme="minorHAnsi" w:cs="Arial"/>
          <w:sz w:val="20"/>
          <w:szCs w:val="20"/>
        </w:rPr>
        <w:t xml:space="preserve"> objekty a objekty typu Vědeckotechnologický park; celková investice je odhadována na 1,6 - 1,9 mld. Kč;</w:t>
      </w:r>
    </w:p>
    <w:p w:rsidR="001C6345" w:rsidRPr="00A3086B" w:rsidRDefault="001C6345" w:rsidP="001C6345">
      <w:pPr>
        <w:pStyle w:val="Zkladntext"/>
        <w:numPr>
          <w:ilvl w:val="0"/>
          <w:numId w:val="2"/>
        </w:numPr>
        <w:spacing w:after="120"/>
        <w:ind w:left="284" w:hanging="284"/>
        <w:rPr>
          <w:rFonts w:asciiTheme="minorHAnsi" w:hAnsiTheme="minorHAnsi" w:cs="Arial"/>
          <w:sz w:val="20"/>
          <w:szCs w:val="20"/>
        </w:rPr>
      </w:pPr>
      <w:r w:rsidRPr="00A3086B">
        <w:rPr>
          <w:rFonts w:asciiTheme="minorHAnsi" w:hAnsiTheme="minorHAnsi" w:cs="Arial"/>
          <w:sz w:val="20"/>
          <w:szCs w:val="20"/>
        </w:rPr>
        <w:t>výstavba na pozemcích je plánována v rámci pěti etap, zastavěno bude min. 58 310 m</w:t>
      </w:r>
      <w:r w:rsidRPr="001C6345">
        <w:rPr>
          <w:rFonts w:asciiTheme="minorHAnsi" w:hAnsiTheme="minorHAnsi" w:cs="Arial"/>
          <w:sz w:val="20"/>
          <w:szCs w:val="20"/>
          <w:vertAlign w:val="superscript"/>
        </w:rPr>
        <w:t>2</w:t>
      </w:r>
      <w:r w:rsidRPr="00A3086B">
        <w:rPr>
          <w:rFonts w:asciiTheme="minorHAnsi" w:hAnsiTheme="minorHAnsi" w:cs="Arial"/>
          <w:sz w:val="20"/>
          <w:szCs w:val="20"/>
        </w:rPr>
        <w:t xml:space="preserve"> plochy a poslední etapa by měla být dokončena k 12/2025. K měsíci 12/2028 se investor zavázal vytvořit min. 703 nových pracovních míst</w:t>
      </w:r>
      <w:r>
        <w:rPr>
          <w:rFonts w:asciiTheme="minorHAnsi" w:hAnsiTheme="minorHAnsi" w:cs="Arial"/>
          <w:sz w:val="20"/>
          <w:szCs w:val="20"/>
        </w:rPr>
        <w:t>, z toho alespoň 200 pozic v rámci vědecko-techn</w:t>
      </w:r>
      <w:r w:rsidR="00885911">
        <w:rPr>
          <w:rFonts w:asciiTheme="minorHAnsi" w:hAnsiTheme="minorHAnsi" w:cs="Arial"/>
          <w:sz w:val="20"/>
          <w:szCs w:val="20"/>
        </w:rPr>
        <w:t>ologi</w:t>
      </w:r>
      <w:r>
        <w:rPr>
          <w:rFonts w:asciiTheme="minorHAnsi" w:hAnsiTheme="minorHAnsi" w:cs="Arial"/>
          <w:sz w:val="20"/>
          <w:szCs w:val="20"/>
        </w:rPr>
        <w:t>ckého parku</w:t>
      </w:r>
      <w:r w:rsidRPr="00A3086B">
        <w:rPr>
          <w:rFonts w:asciiTheme="minorHAnsi" w:hAnsiTheme="minorHAnsi" w:cs="Arial"/>
          <w:sz w:val="20"/>
          <w:szCs w:val="20"/>
        </w:rPr>
        <w:t>;</w:t>
      </w:r>
    </w:p>
    <w:p w:rsidR="00A3086B" w:rsidRPr="00A3086B" w:rsidRDefault="00A3086B" w:rsidP="00A3086B">
      <w:pPr>
        <w:pStyle w:val="Zkladntext"/>
        <w:numPr>
          <w:ilvl w:val="0"/>
          <w:numId w:val="2"/>
        </w:numPr>
        <w:spacing w:after="120"/>
        <w:ind w:left="284" w:hanging="284"/>
        <w:rPr>
          <w:rFonts w:asciiTheme="minorHAnsi" w:hAnsiTheme="minorHAnsi" w:cs="Arial"/>
          <w:sz w:val="20"/>
          <w:szCs w:val="20"/>
        </w:rPr>
      </w:pPr>
      <w:r w:rsidRPr="00A3086B">
        <w:rPr>
          <w:rFonts w:asciiTheme="minorHAnsi" w:hAnsiTheme="minorHAnsi" w:cs="Arial"/>
          <w:sz w:val="20"/>
          <w:szCs w:val="20"/>
        </w:rPr>
        <w:t xml:space="preserve">v průběhu I. pol. r. 2019 probíhalo právní a technické </w:t>
      </w:r>
      <w:proofErr w:type="spellStart"/>
      <w:r w:rsidRPr="00A3086B">
        <w:rPr>
          <w:rFonts w:asciiTheme="minorHAnsi" w:hAnsiTheme="minorHAnsi" w:cs="Arial"/>
          <w:sz w:val="20"/>
          <w:szCs w:val="20"/>
        </w:rPr>
        <w:t>due</w:t>
      </w:r>
      <w:proofErr w:type="spellEnd"/>
      <w:r w:rsidRPr="00A3086B">
        <w:rPr>
          <w:rFonts w:asciiTheme="minorHAnsi" w:hAnsiTheme="minorHAnsi" w:cs="Arial"/>
          <w:sz w:val="20"/>
          <w:szCs w:val="20"/>
        </w:rPr>
        <w:t xml:space="preserve"> diligence ze strany investora a zároveň byly zahájeny projekční práce; souběžně s právní prověrkou a prováděnými průzkumy byl připravován návrh Dodatku č. 1 </w:t>
      </w:r>
      <w:r w:rsidR="00650741">
        <w:rPr>
          <w:rFonts w:asciiTheme="minorHAnsi" w:hAnsiTheme="minorHAnsi" w:cs="Arial"/>
          <w:sz w:val="20"/>
          <w:szCs w:val="20"/>
        </w:rPr>
        <w:br/>
      </w:r>
      <w:r w:rsidRPr="00A3086B">
        <w:rPr>
          <w:rFonts w:asciiTheme="minorHAnsi" w:hAnsiTheme="minorHAnsi" w:cs="Arial"/>
          <w:sz w:val="20"/>
          <w:szCs w:val="20"/>
        </w:rPr>
        <w:t xml:space="preserve">ke zmiňované Kupní smlouvě, na základě kterého došlo k dořešení neuzavřených bodů, finalizaci časového a </w:t>
      </w:r>
      <w:r w:rsidRPr="00A3086B">
        <w:rPr>
          <w:rFonts w:asciiTheme="minorHAnsi" w:hAnsiTheme="minorHAnsi" w:cs="Arial"/>
          <w:sz w:val="20"/>
          <w:szCs w:val="20"/>
        </w:rPr>
        <w:lastRenderedPageBreak/>
        <w:t xml:space="preserve">věcného harmonogramu, </w:t>
      </w:r>
      <w:r w:rsidR="00650741">
        <w:rPr>
          <w:rFonts w:asciiTheme="minorHAnsi" w:hAnsiTheme="minorHAnsi" w:cs="Arial"/>
          <w:sz w:val="20"/>
          <w:szCs w:val="20"/>
        </w:rPr>
        <w:t xml:space="preserve">a </w:t>
      </w:r>
      <w:r w:rsidRPr="00A3086B">
        <w:rPr>
          <w:rFonts w:asciiTheme="minorHAnsi" w:hAnsiTheme="minorHAnsi" w:cs="Arial"/>
          <w:sz w:val="20"/>
          <w:szCs w:val="20"/>
        </w:rPr>
        <w:t xml:space="preserve">následně po jeho uzavření počátkem 07/2019 byla uhrazena kupní cena </w:t>
      </w:r>
      <w:r w:rsidR="00AD6FE2">
        <w:rPr>
          <w:rFonts w:asciiTheme="minorHAnsi" w:hAnsiTheme="minorHAnsi" w:cs="Arial"/>
          <w:sz w:val="20"/>
          <w:szCs w:val="20"/>
        </w:rPr>
        <w:t xml:space="preserve">ve výši </w:t>
      </w:r>
      <w:r w:rsidR="00AD5107">
        <w:rPr>
          <w:rFonts w:asciiTheme="minorHAnsi" w:hAnsiTheme="minorHAnsi" w:cs="Arial"/>
          <w:sz w:val="20"/>
          <w:szCs w:val="20"/>
        </w:rPr>
        <w:br/>
      </w:r>
      <w:r w:rsidR="00AD6FE2">
        <w:rPr>
          <w:rFonts w:asciiTheme="minorHAnsi" w:hAnsiTheme="minorHAnsi" w:cs="Arial"/>
          <w:sz w:val="20"/>
          <w:szCs w:val="20"/>
        </w:rPr>
        <w:t xml:space="preserve">255 mil. Kč </w:t>
      </w:r>
      <w:r w:rsidRPr="00A3086B">
        <w:rPr>
          <w:rFonts w:asciiTheme="minorHAnsi" w:hAnsiTheme="minorHAnsi" w:cs="Arial"/>
          <w:sz w:val="20"/>
          <w:szCs w:val="20"/>
        </w:rPr>
        <w:t>a podán návrh na vklad do KN;</w:t>
      </w:r>
    </w:p>
    <w:p w:rsidR="00A3086B" w:rsidRPr="00A3086B" w:rsidRDefault="00A3086B" w:rsidP="00A3086B">
      <w:pPr>
        <w:pStyle w:val="Zkladntext"/>
        <w:numPr>
          <w:ilvl w:val="0"/>
          <w:numId w:val="2"/>
        </w:numPr>
        <w:spacing w:after="120"/>
        <w:ind w:left="284" w:hanging="284"/>
        <w:rPr>
          <w:rFonts w:asciiTheme="minorHAnsi" w:hAnsiTheme="minorHAnsi" w:cs="Arial"/>
          <w:sz w:val="20"/>
          <w:szCs w:val="20"/>
        </w:rPr>
      </w:pPr>
      <w:r w:rsidRPr="00A3086B">
        <w:rPr>
          <w:rFonts w:asciiTheme="minorHAnsi" w:hAnsiTheme="minorHAnsi" w:cs="Arial"/>
          <w:sz w:val="20"/>
          <w:szCs w:val="20"/>
        </w:rPr>
        <w:t>na základě dohody o spolupráci uzavřené s městem přistoupil investor v I. kvartálu r. 2019 ke kácení dřevin v lokalitě tak, aby bylo vykáceno v období stávajícího vegetačního klidu;</w:t>
      </w:r>
    </w:p>
    <w:p w:rsidR="00A3086B" w:rsidRDefault="00A3086B" w:rsidP="00A3086B">
      <w:pPr>
        <w:pStyle w:val="Zkladntext"/>
        <w:numPr>
          <w:ilvl w:val="0"/>
          <w:numId w:val="2"/>
        </w:numPr>
        <w:spacing w:after="120"/>
        <w:ind w:left="284" w:hanging="284"/>
        <w:rPr>
          <w:rFonts w:asciiTheme="minorHAnsi" w:hAnsiTheme="minorHAnsi" w:cs="Arial"/>
          <w:sz w:val="20"/>
          <w:szCs w:val="20"/>
        </w:rPr>
      </w:pPr>
      <w:r w:rsidRPr="00A3086B">
        <w:rPr>
          <w:rFonts w:asciiTheme="minorHAnsi" w:hAnsiTheme="minorHAnsi" w:cs="Arial"/>
          <w:sz w:val="20"/>
          <w:szCs w:val="20"/>
        </w:rPr>
        <w:t>k projektu byla zřízena pracovní skupina ze zástupců jednotlivých odborů města a investora, v rámci které jsou průběžně řešeny úkoly související s přípravou projektu pro zajištění jeho plynulého postupu (věcná břemena v území, požadavky na připojení k</w:t>
      </w:r>
      <w:r w:rsidR="00333587">
        <w:rPr>
          <w:rFonts w:asciiTheme="minorHAnsi" w:hAnsiTheme="minorHAnsi" w:cs="Arial"/>
          <w:sz w:val="20"/>
          <w:szCs w:val="20"/>
        </w:rPr>
        <w:t> inženýrským sítím</w:t>
      </w:r>
      <w:r w:rsidRPr="00A3086B">
        <w:rPr>
          <w:rFonts w:asciiTheme="minorHAnsi" w:hAnsiTheme="minorHAnsi" w:cs="Arial"/>
          <w:sz w:val="20"/>
          <w:szCs w:val="20"/>
        </w:rPr>
        <w:t xml:space="preserve">, koordinace s projekty OZO Ostrava a další). </w:t>
      </w:r>
    </w:p>
    <w:p w:rsidR="00F67ED6" w:rsidRPr="00F67ED6" w:rsidRDefault="00F67ED6" w:rsidP="00F67ED6">
      <w:pPr>
        <w:spacing w:after="120"/>
        <w:jc w:val="both"/>
        <w:rPr>
          <w:rFonts w:asciiTheme="minorHAnsi" w:hAnsiTheme="minorHAnsi" w:cs="Arial"/>
          <w:sz w:val="20"/>
          <w:szCs w:val="20"/>
        </w:rPr>
      </w:pPr>
    </w:p>
    <w:p w:rsidR="008F68EE" w:rsidRPr="008F68EE" w:rsidRDefault="00F32650" w:rsidP="008A42ED">
      <w:pPr>
        <w:pStyle w:val="Zkladntext"/>
        <w:numPr>
          <w:ilvl w:val="0"/>
          <w:numId w:val="1"/>
        </w:numPr>
        <w:spacing w:after="120"/>
        <w:ind w:left="284" w:hanging="357"/>
        <w:rPr>
          <w:rFonts w:asciiTheme="minorHAnsi" w:hAnsiTheme="minorHAnsi" w:cs="Arial"/>
          <w:sz w:val="20"/>
          <w:szCs w:val="20"/>
        </w:rPr>
      </w:pPr>
      <w:r w:rsidRPr="008F68EE">
        <w:rPr>
          <w:rFonts w:asciiTheme="minorHAnsi" w:hAnsiTheme="minorHAnsi" w:cs="Arial"/>
          <w:b/>
          <w:sz w:val="22"/>
          <w:szCs w:val="22"/>
        </w:rPr>
        <w:t>Vědecko-technologick</w:t>
      </w:r>
      <w:r w:rsidR="00E7357A" w:rsidRPr="008F68EE">
        <w:rPr>
          <w:rFonts w:asciiTheme="minorHAnsi" w:hAnsiTheme="minorHAnsi" w:cs="Arial"/>
          <w:b/>
          <w:sz w:val="22"/>
          <w:szCs w:val="22"/>
        </w:rPr>
        <w:t>ý park</w:t>
      </w:r>
      <w:r w:rsidRPr="008F68EE">
        <w:rPr>
          <w:rFonts w:asciiTheme="minorHAnsi" w:hAnsiTheme="minorHAnsi" w:cs="Arial"/>
          <w:b/>
          <w:sz w:val="22"/>
          <w:szCs w:val="22"/>
        </w:rPr>
        <w:t xml:space="preserve"> Ostrava</w:t>
      </w:r>
      <w:r w:rsidR="00C853DE">
        <w:rPr>
          <w:rFonts w:asciiTheme="minorHAnsi" w:hAnsiTheme="minorHAnsi" w:cs="Arial"/>
          <w:b/>
          <w:sz w:val="22"/>
          <w:szCs w:val="22"/>
        </w:rPr>
        <w:t xml:space="preserve"> - Moravskoslezské inovační centrum </w:t>
      </w:r>
    </w:p>
    <w:p w:rsidR="00B7787C" w:rsidRPr="00374A6A" w:rsidRDefault="00B7787C" w:rsidP="008A42ED">
      <w:pPr>
        <w:pStyle w:val="Zkladntext"/>
        <w:numPr>
          <w:ilvl w:val="0"/>
          <w:numId w:val="2"/>
        </w:numPr>
        <w:spacing w:after="120"/>
        <w:ind w:left="284" w:hanging="284"/>
        <w:rPr>
          <w:rFonts w:asciiTheme="minorHAnsi" w:hAnsiTheme="minorHAnsi" w:cs="Arial"/>
          <w:sz w:val="20"/>
          <w:szCs w:val="20"/>
        </w:rPr>
      </w:pPr>
      <w:r w:rsidRPr="00374A6A">
        <w:rPr>
          <w:rFonts w:asciiTheme="minorHAnsi" w:hAnsiTheme="minorHAnsi" w:cs="Arial"/>
          <w:sz w:val="20"/>
          <w:szCs w:val="20"/>
        </w:rPr>
        <w:t>Vědecko-technologický park Ostrava</w:t>
      </w:r>
      <w:r w:rsidR="00C41A92">
        <w:rPr>
          <w:rFonts w:asciiTheme="minorHAnsi" w:hAnsiTheme="minorHAnsi" w:cs="Arial"/>
          <w:sz w:val="20"/>
          <w:szCs w:val="20"/>
        </w:rPr>
        <w:t xml:space="preserve"> </w:t>
      </w:r>
      <w:r w:rsidR="00D36C60" w:rsidRPr="00374A6A">
        <w:rPr>
          <w:rFonts w:asciiTheme="minorHAnsi" w:hAnsiTheme="minorHAnsi" w:cs="Arial"/>
          <w:sz w:val="20"/>
          <w:szCs w:val="20"/>
        </w:rPr>
        <w:t xml:space="preserve">o rozloze cca 10 ha v Ostravě - </w:t>
      </w:r>
      <w:proofErr w:type="spellStart"/>
      <w:r w:rsidR="00D36C60" w:rsidRPr="00374A6A">
        <w:rPr>
          <w:rFonts w:asciiTheme="minorHAnsi" w:hAnsiTheme="minorHAnsi" w:cs="Arial"/>
          <w:sz w:val="20"/>
          <w:szCs w:val="20"/>
        </w:rPr>
        <w:t>Pustkovci</w:t>
      </w:r>
      <w:proofErr w:type="spellEnd"/>
      <w:r w:rsidR="00D36C60" w:rsidRPr="00374A6A">
        <w:rPr>
          <w:rFonts w:asciiTheme="minorHAnsi" w:hAnsiTheme="minorHAnsi" w:cs="Arial"/>
          <w:sz w:val="20"/>
          <w:szCs w:val="20"/>
        </w:rPr>
        <w:t xml:space="preserve"> </w:t>
      </w:r>
      <w:r w:rsidR="00C2748B" w:rsidRPr="00374A6A">
        <w:rPr>
          <w:rFonts w:asciiTheme="minorHAnsi" w:hAnsiTheme="minorHAnsi" w:cs="Arial"/>
          <w:sz w:val="20"/>
          <w:szCs w:val="20"/>
        </w:rPr>
        <w:t xml:space="preserve">byl založen v roce </w:t>
      </w:r>
      <w:r w:rsidRPr="00374A6A">
        <w:rPr>
          <w:rFonts w:asciiTheme="minorHAnsi" w:hAnsiTheme="minorHAnsi" w:cs="Arial"/>
          <w:sz w:val="20"/>
          <w:szCs w:val="20"/>
        </w:rPr>
        <w:t xml:space="preserve">1997 </w:t>
      </w:r>
      <w:r w:rsidR="00C2748B" w:rsidRPr="00374A6A">
        <w:rPr>
          <w:rFonts w:asciiTheme="minorHAnsi" w:hAnsiTheme="minorHAnsi" w:cs="Arial"/>
          <w:sz w:val="20"/>
          <w:szCs w:val="20"/>
        </w:rPr>
        <w:t>s cílem vytvořit prostor pro vědecký a technologický výzkum</w:t>
      </w:r>
      <w:r w:rsidR="00D17308" w:rsidRPr="00374A6A">
        <w:rPr>
          <w:rFonts w:asciiTheme="minorHAnsi" w:hAnsiTheme="minorHAnsi" w:cs="Arial"/>
          <w:sz w:val="20"/>
          <w:szCs w:val="20"/>
        </w:rPr>
        <w:t xml:space="preserve">, inovace a </w:t>
      </w:r>
      <w:proofErr w:type="spellStart"/>
      <w:r w:rsidR="00D17308" w:rsidRPr="00374A6A">
        <w:rPr>
          <w:rFonts w:asciiTheme="minorHAnsi" w:hAnsiTheme="minorHAnsi" w:cs="Arial"/>
          <w:sz w:val="20"/>
          <w:szCs w:val="20"/>
        </w:rPr>
        <w:t>hi</w:t>
      </w:r>
      <w:proofErr w:type="spellEnd"/>
      <w:r w:rsidR="00D17308" w:rsidRPr="00374A6A">
        <w:rPr>
          <w:rFonts w:asciiTheme="minorHAnsi" w:hAnsiTheme="minorHAnsi" w:cs="Arial"/>
          <w:sz w:val="20"/>
          <w:szCs w:val="20"/>
        </w:rPr>
        <w:t>-tech technologie</w:t>
      </w:r>
      <w:r w:rsidR="00961806" w:rsidRPr="00374A6A">
        <w:rPr>
          <w:rFonts w:asciiTheme="minorHAnsi" w:hAnsiTheme="minorHAnsi" w:cs="Arial"/>
          <w:sz w:val="20"/>
          <w:szCs w:val="20"/>
        </w:rPr>
        <w:t xml:space="preserve"> s</w:t>
      </w:r>
      <w:r w:rsidR="00D17308" w:rsidRPr="00374A6A">
        <w:rPr>
          <w:rFonts w:asciiTheme="minorHAnsi" w:hAnsiTheme="minorHAnsi" w:cs="Arial"/>
          <w:sz w:val="20"/>
          <w:szCs w:val="20"/>
        </w:rPr>
        <w:t xml:space="preserve"> úzkou </w:t>
      </w:r>
      <w:r w:rsidR="00961806" w:rsidRPr="00374A6A">
        <w:rPr>
          <w:rFonts w:asciiTheme="minorHAnsi" w:hAnsiTheme="minorHAnsi" w:cs="Arial"/>
          <w:sz w:val="20"/>
          <w:szCs w:val="20"/>
        </w:rPr>
        <w:t>v</w:t>
      </w:r>
      <w:r w:rsidR="00D17308" w:rsidRPr="00374A6A">
        <w:rPr>
          <w:rFonts w:asciiTheme="minorHAnsi" w:hAnsiTheme="minorHAnsi" w:cs="Arial"/>
          <w:sz w:val="20"/>
          <w:szCs w:val="20"/>
        </w:rPr>
        <w:t>azb</w:t>
      </w:r>
      <w:r w:rsidR="00961806" w:rsidRPr="00374A6A">
        <w:rPr>
          <w:rFonts w:asciiTheme="minorHAnsi" w:hAnsiTheme="minorHAnsi" w:cs="Arial"/>
          <w:sz w:val="20"/>
          <w:szCs w:val="20"/>
        </w:rPr>
        <w:t>ou</w:t>
      </w:r>
      <w:r w:rsidR="00D17308" w:rsidRPr="00374A6A">
        <w:rPr>
          <w:rFonts w:asciiTheme="minorHAnsi" w:hAnsiTheme="minorHAnsi" w:cs="Arial"/>
          <w:sz w:val="20"/>
          <w:szCs w:val="20"/>
        </w:rPr>
        <w:t xml:space="preserve"> na univerzitní sféru</w:t>
      </w:r>
      <w:r w:rsidR="00961806" w:rsidRPr="00374A6A">
        <w:rPr>
          <w:rFonts w:asciiTheme="minorHAnsi" w:hAnsiTheme="minorHAnsi" w:cs="Arial"/>
          <w:sz w:val="20"/>
          <w:szCs w:val="20"/>
        </w:rPr>
        <w:t xml:space="preserve">, kterou </w:t>
      </w:r>
      <w:r w:rsidR="00D17308" w:rsidRPr="00374A6A">
        <w:rPr>
          <w:rFonts w:asciiTheme="minorHAnsi" w:hAnsiTheme="minorHAnsi" w:cs="Arial"/>
          <w:sz w:val="20"/>
          <w:szCs w:val="20"/>
        </w:rPr>
        <w:t xml:space="preserve">zajišťuje </w:t>
      </w:r>
      <w:r w:rsidR="00961806" w:rsidRPr="00374A6A">
        <w:rPr>
          <w:rFonts w:asciiTheme="minorHAnsi" w:hAnsiTheme="minorHAnsi" w:cs="Arial"/>
          <w:sz w:val="20"/>
          <w:szCs w:val="20"/>
        </w:rPr>
        <w:t xml:space="preserve">vybraná lokalita v bezprostřední </w:t>
      </w:r>
      <w:r w:rsidR="00D17308" w:rsidRPr="00374A6A">
        <w:rPr>
          <w:rFonts w:asciiTheme="minorHAnsi" w:hAnsiTheme="minorHAnsi" w:cs="Arial"/>
          <w:sz w:val="20"/>
          <w:szCs w:val="20"/>
        </w:rPr>
        <w:t>blízkost</w:t>
      </w:r>
      <w:r w:rsidR="00961806" w:rsidRPr="00374A6A">
        <w:rPr>
          <w:rFonts w:asciiTheme="minorHAnsi" w:hAnsiTheme="minorHAnsi" w:cs="Arial"/>
          <w:sz w:val="20"/>
          <w:szCs w:val="20"/>
        </w:rPr>
        <w:t>i</w:t>
      </w:r>
      <w:r w:rsidR="00D17308" w:rsidRPr="00374A6A">
        <w:rPr>
          <w:rFonts w:asciiTheme="minorHAnsi" w:hAnsiTheme="minorHAnsi" w:cs="Arial"/>
          <w:sz w:val="20"/>
          <w:szCs w:val="20"/>
        </w:rPr>
        <w:t xml:space="preserve"> Vysoké školy báňské</w:t>
      </w:r>
      <w:r w:rsidR="00544834">
        <w:rPr>
          <w:rFonts w:asciiTheme="minorHAnsi" w:hAnsiTheme="minorHAnsi" w:cs="Arial"/>
          <w:sz w:val="20"/>
          <w:szCs w:val="20"/>
        </w:rPr>
        <w:t>;</w:t>
      </w:r>
      <w:r w:rsidR="008262CC" w:rsidRPr="00374A6A">
        <w:rPr>
          <w:rFonts w:asciiTheme="minorHAnsi" w:hAnsiTheme="minorHAnsi" w:cs="Arial"/>
          <w:sz w:val="20"/>
          <w:szCs w:val="20"/>
        </w:rPr>
        <w:t xml:space="preserve"> </w:t>
      </w:r>
    </w:p>
    <w:p w:rsidR="0080003C" w:rsidRDefault="00C90EBA" w:rsidP="008A42ED">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od 07/2017 působí v lokalitě společnost Moravskoslezské inovační centrum Ostrava, a. s. (dále jen MSIC)</w:t>
      </w:r>
      <w:r w:rsidR="0080003C">
        <w:rPr>
          <w:rFonts w:asciiTheme="minorHAnsi" w:hAnsiTheme="minorHAnsi" w:cs="Arial"/>
          <w:sz w:val="20"/>
          <w:szCs w:val="20"/>
        </w:rPr>
        <w:t xml:space="preserve"> </w:t>
      </w:r>
      <w:r>
        <w:rPr>
          <w:rFonts w:asciiTheme="minorHAnsi" w:hAnsiTheme="minorHAnsi" w:cs="Arial"/>
          <w:sz w:val="20"/>
          <w:szCs w:val="20"/>
        </w:rPr>
        <w:t xml:space="preserve">transformovaná z původního Vědeckotechnologického parku </w:t>
      </w:r>
      <w:r w:rsidR="001C5F92">
        <w:rPr>
          <w:rFonts w:asciiTheme="minorHAnsi" w:hAnsiTheme="minorHAnsi" w:cs="Arial"/>
          <w:sz w:val="20"/>
          <w:szCs w:val="20"/>
        </w:rPr>
        <w:t xml:space="preserve">Ostrava, a. s., jejímž je vytvářet a rozvíjet inovační potenciál Moravskoslezského kraje, a to formou programů a služeb pro začínající podnikatele či inovativní malé a střední firmy (podrobněji níže) </w:t>
      </w:r>
    </w:p>
    <w:p w:rsidR="00A65B80" w:rsidRPr="00374A6A" w:rsidRDefault="00725476" w:rsidP="008A42ED">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vědecko-technologický park s téměř </w:t>
      </w:r>
      <w:r w:rsidR="00A65B80" w:rsidRPr="00374A6A">
        <w:rPr>
          <w:rFonts w:asciiTheme="minorHAnsi" w:hAnsiTheme="minorHAnsi" w:cs="Arial"/>
          <w:sz w:val="20"/>
          <w:szCs w:val="20"/>
        </w:rPr>
        <w:t>11 000 m</w:t>
      </w:r>
      <w:r w:rsidR="00A65B80" w:rsidRPr="00374A6A">
        <w:rPr>
          <w:rFonts w:asciiTheme="minorHAnsi" w:hAnsiTheme="minorHAnsi" w:cs="Arial"/>
          <w:sz w:val="20"/>
          <w:szCs w:val="20"/>
          <w:vertAlign w:val="superscript"/>
        </w:rPr>
        <w:t>2</w:t>
      </w:r>
      <w:r w:rsidR="00A65B80" w:rsidRPr="00374A6A">
        <w:rPr>
          <w:rFonts w:asciiTheme="minorHAnsi" w:hAnsiTheme="minorHAnsi" w:cs="Arial"/>
          <w:sz w:val="20"/>
          <w:szCs w:val="20"/>
        </w:rPr>
        <w:t xml:space="preserve"> kancelářských ploch, laboratoří a dílen </w:t>
      </w:r>
      <w:r>
        <w:rPr>
          <w:rFonts w:asciiTheme="minorHAnsi" w:hAnsiTheme="minorHAnsi" w:cs="Arial"/>
          <w:sz w:val="20"/>
          <w:szCs w:val="20"/>
        </w:rPr>
        <w:t>je tvořen multifunkčními budovami</w:t>
      </w:r>
      <w:r w:rsidR="00701C3B" w:rsidRPr="00374A6A">
        <w:rPr>
          <w:rFonts w:asciiTheme="minorHAnsi" w:hAnsiTheme="minorHAnsi" w:cs="Arial"/>
          <w:sz w:val="20"/>
          <w:szCs w:val="20"/>
        </w:rPr>
        <w:t xml:space="preserve"> PIANO (I), TANDEM (II), TRIDENT (III) a VIVA (IV), které tvoří technické a</w:t>
      </w:r>
      <w:r w:rsidR="00463AF8">
        <w:rPr>
          <w:rFonts w:asciiTheme="minorHAnsi" w:hAnsiTheme="minorHAnsi" w:cs="Arial"/>
          <w:sz w:val="20"/>
          <w:szCs w:val="20"/>
        </w:rPr>
        <w:t xml:space="preserve"> administrativní zázemí areálu</w:t>
      </w:r>
      <w:r w:rsidR="00A30A5B">
        <w:rPr>
          <w:rFonts w:asciiTheme="minorHAnsi" w:hAnsiTheme="minorHAnsi" w:cs="Arial"/>
          <w:sz w:val="20"/>
          <w:szCs w:val="20"/>
        </w:rPr>
        <w:t xml:space="preserve"> a jejichž obsazenost byla k 30. 6. 2019 následující: Piano - 89,12%, Tandem - 58%, </w:t>
      </w:r>
      <w:proofErr w:type="spellStart"/>
      <w:r w:rsidR="00A30A5B">
        <w:rPr>
          <w:rFonts w:asciiTheme="minorHAnsi" w:hAnsiTheme="minorHAnsi" w:cs="Arial"/>
          <w:sz w:val="20"/>
          <w:szCs w:val="20"/>
        </w:rPr>
        <w:t>Viva</w:t>
      </w:r>
      <w:proofErr w:type="spellEnd"/>
      <w:r w:rsidR="00A30A5B">
        <w:rPr>
          <w:rFonts w:asciiTheme="minorHAnsi" w:hAnsiTheme="minorHAnsi" w:cs="Arial"/>
          <w:sz w:val="20"/>
          <w:szCs w:val="20"/>
        </w:rPr>
        <w:t xml:space="preserve"> - 91,84% a Trident 100%</w:t>
      </w:r>
      <w:r w:rsidR="00463AF8">
        <w:rPr>
          <w:rFonts w:asciiTheme="minorHAnsi" w:hAnsiTheme="minorHAnsi" w:cs="Arial"/>
          <w:sz w:val="20"/>
          <w:szCs w:val="20"/>
        </w:rPr>
        <w:t xml:space="preserve">; </w:t>
      </w:r>
      <w:r w:rsidR="00A30A5B">
        <w:rPr>
          <w:rFonts w:asciiTheme="minorHAnsi" w:hAnsiTheme="minorHAnsi" w:cs="Arial"/>
          <w:sz w:val="20"/>
          <w:szCs w:val="20"/>
        </w:rPr>
        <w:br/>
        <w:t>ke stejnému datu</w:t>
      </w:r>
      <w:r w:rsidR="00463AF8">
        <w:rPr>
          <w:rFonts w:asciiTheme="minorHAnsi" w:hAnsiTheme="minorHAnsi" w:cs="Arial"/>
          <w:sz w:val="20"/>
          <w:szCs w:val="20"/>
        </w:rPr>
        <w:t xml:space="preserve"> bylo v budovách zasídleno 76 firem s 943 zaměstnanci. </w:t>
      </w:r>
      <w:r w:rsidR="00B74392" w:rsidRPr="00374A6A">
        <w:rPr>
          <w:rFonts w:asciiTheme="minorHAnsi" w:hAnsiTheme="minorHAnsi" w:cs="Arial"/>
          <w:sz w:val="20"/>
          <w:szCs w:val="20"/>
        </w:rPr>
        <w:t xml:space="preserve">Dalších </w:t>
      </w:r>
      <w:r w:rsidR="00B74392">
        <w:rPr>
          <w:rFonts w:asciiTheme="minorHAnsi" w:hAnsiTheme="minorHAnsi" w:cs="Arial"/>
          <w:sz w:val="20"/>
          <w:szCs w:val="20"/>
        </w:rPr>
        <w:t>219</w:t>
      </w:r>
      <w:r w:rsidR="00B74392" w:rsidRPr="00374A6A">
        <w:rPr>
          <w:rFonts w:asciiTheme="minorHAnsi" w:hAnsiTheme="minorHAnsi" w:cs="Arial"/>
          <w:sz w:val="20"/>
          <w:szCs w:val="20"/>
        </w:rPr>
        <w:t xml:space="preserve"> pracovních míst bylo vytvořeno v komerčních objektech společností Ingeteam a. s., ELCOM, a. s. a VAE </w:t>
      </w:r>
      <w:proofErr w:type="spellStart"/>
      <w:r w:rsidR="00B74392" w:rsidRPr="00374A6A">
        <w:rPr>
          <w:rFonts w:asciiTheme="minorHAnsi" w:hAnsiTheme="minorHAnsi" w:cs="Arial"/>
          <w:sz w:val="20"/>
          <w:szCs w:val="20"/>
        </w:rPr>
        <w:t>Prosys</w:t>
      </w:r>
      <w:proofErr w:type="spellEnd"/>
      <w:r w:rsidR="00B74392" w:rsidRPr="00374A6A">
        <w:rPr>
          <w:rFonts w:asciiTheme="minorHAnsi" w:hAnsiTheme="minorHAnsi" w:cs="Arial"/>
          <w:sz w:val="20"/>
          <w:szCs w:val="20"/>
        </w:rPr>
        <w:t xml:space="preserve"> s. r. o., situovaných v areálu VT parku;</w:t>
      </w:r>
    </w:p>
    <w:p w:rsidR="00293E2B" w:rsidRPr="00374A6A" w:rsidRDefault="00342F59" w:rsidP="008859E4">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v I. pol. r. 2019 došlo k přípravě investičního záměru výstavby V. multifunkční budovy</w:t>
      </w:r>
      <w:r w:rsidR="009A2023">
        <w:rPr>
          <w:rFonts w:asciiTheme="minorHAnsi" w:hAnsiTheme="minorHAnsi" w:cs="Arial"/>
          <w:sz w:val="20"/>
          <w:szCs w:val="20"/>
        </w:rPr>
        <w:t xml:space="preserve"> VTPO</w:t>
      </w:r>
      <w:r>
        <w:rPr>
          <w:rFonts w:asciiTheme="minorHAnsi" w:hAnsiTheme="minorHAnsi" w:cs="Arial"/>
          <w:sz w:val="20"/>
          <w:szCs w:val="20"/>
        </w:rPr>
        <w:t>, jejímž investorem je Moravskoslezský kraj</w:t>
      </w:r>
      <w:r w:rsidR="009A2023">
        <w:rPr>
          <w:rFonts w:asciiTheme="minorHAnsi" w:hAnsiTheme="minorHAnsi" w:cs="Arial"/>
          <w:sz w:val="20"/>
          <w:szCs w:val="20"/>
        </w:rPr>
        <w:t xml:space="preserve">; v navržené páté budově bude realizován průmyslový výzkum a vývoj, demonstrovány nové speciální technologie, lehká </w:t>
      </w:r>
      <w:r w:rsidR="00AD6FE2">
        <w:rPr>
          <w:rFonts w:asciiTheme="minorHAnsi" w:hAnsiTheme="minorHAnsi" w:cs="Arial"/>
          <w:sz w:val="20"/>
          <w:szCs w:val="20"/>
        </w:rPr>
        <w:t xml:space="preserve">prototypová </w:t>
      </w:r>
      <w:r w:rsidR="009A2023">
        <w:rPr>
          <w:rFonts w:asciiTheme="minorHAnsi" w:hAnsiTheme="minorHAnsi" w:cs="Arial"/>
          <w:sz w:val="20"/>
          <w:szCs w:val="20"/>
        </w:rPr>
        <w:t xml:space="preserve">výroba, budou zde umístěny kancelářské prostory a bude místem konání specializovaných odborných akcí; budova je navržena v pěti nadzemních podlažích a jednom podzemním podlaží, kde je umístěno parkování a technické provozy; </w:t>
      </w:r>
      <w:r w:rsidR="00474B8D">
        <w:rPr>
          <w:rFonts w:asciiTheme="minorHAnsi" w:hAnsiTheme="minorHAnsi" w:cs="Arial"/>
          <w:sz w:val="20"/>
          <w:szCs w:val="20"/>
        </w:rPr>
        <w:t>financování výstavby nové budovy předpokládá získání dotace z externích zdrojů;</w:t>
      </w:r>
    </w:p>
    <w:p w:rsidR="00123C84" w:rsidRPr="002B38B9" w:rsidRDefault="00B37B1E" w:rsidP="00703795">
      <w:pPr>
        <w:pStyle w:val="Zkladntext"/>
        <w:numPr>
          <w:ilvl w:val="0"/>
          <w:numId w:val="2"/>
        </w:numPr>
        <w:spacing w:after="120"/>
        <w:ind w:left="284" w:hanging="284"/>
        <w:rPr>
          <w:rFonts w:asciiTheme="minorHAnsi" w:hAnsiTheme="minorHAnsi" w:cs="Arial"/>
          <w:sz w:val="20"/>
          <w:szCs w:val="20"/>
        </w:rPr>
      </w:pPr>
      <w:r>
        <w:rPr>
          <w:rFonts w:asciiTheme="minorHAnsi" w:hAnsiTheme="minorHAnsi" w:cs="Arial"/>
          <w:sz w:val="20"/>
          <w:szCs w:val="20"/>
        </w:rPr>
        <w:t xml:space="preserve">v průběhu I. pololetí r. 2019 zahájila výstavbu v lokalitě další z komerčních společností - </w:t>
      </w:r>
      <w:r w:rsidR="002B38B9" w:rsidRPr="002B38B9">
        <w:rPr>
          <w:rFonts w:asciiTheme="minorHAnsi" w:hAnsiTheme="minorHAnsi" w:cs="Arial"/>
          <w:sz w:val="20"/>
          <w:szCs w:val="20"/>
        </w:rPr>
        <w:t xml:space="preserve"> společnost </w:t>
      </w:r>
      <w:r w:rsidR="00FA71FE" w:rsidRPr="002B38B9">
        <w:rPr>
          <w:rFonts w:asciiTheme="minorHAnsi" w:hAnsiTheme="minorHAnsi" w:cs="Arial"/>
          <w:sz w:val="20"/>
          <w:szCs w:val="20"/>
        </w:rPr>
        <w:t>Elektro MAR</w:t>
      </w:r>
      <w:r w:rsidR="00703795" w:rsidRPr="002B38B9">
        <w:rPr>
          <w:rFonts w:asciiTheme="minorHAnsi" w:hAnsiTheme="minorHAnsi" w:cs="Arial"/>
          <w:sz w:val="20"/>
          <w:szCs w:val="20"/>
        </w:rPr>
        <w:t xml:space="preserve"> </w:t>
      </w:r>
      <w:r w:rsidR="00B3410E">
        <w:rPr>
          <w:rFonts w:asciiTheme="minorHAnsi" w:hAnsiTheme="minorHAnsi" w:cs="Arial"/>
          <w:sz w:val="20"/>
          <w:szCs w:val="20"/>
        </w:rPr>
        <w:br/>
      </w:r>
      <w:r w:rsidR="00703795" w:rsidRPr="002B38B9">
        <w:rPr>
          <w:rFonts w:asciiTheme="minorHAnsi" w:hAnsiTheme="minorHAnsi" w:cs="Arial"/>
          <w:sz w:val="20"/>
          <w:szCs w:val="20"/>
        </w:rPr>
        <w:t xml:space="preserve">a. s., </w:t>
      </w:r>
      <w:r w:rsidR="00127E6F" w:rsidRPr="002B38B9">
        <w:rPr>
          <w:rFonts w:asciiTheme="minorHAnsi" w:hAnsiTheme="minorHAnsi" w:cs="Arial"/>
          <w:sz w:val="20"/>
          <w:szCs w:val="20"/>
        </w:rPr>
        <w:t>zaměřen</w:t>
      </w:r>
      <w:r w:rsidR="000F2D71" w:rsidRPr="002B38B9">
        <w:rPr>
          <w:rFonts w:asciiTheme="minorHAnsi" w:hAnsiTheme="minorHAnsi" w:cs="Arial"/>
          <w:sz w:val="20"/>
          <w:szCs w:val="20"/>
        </w:rPr>
        <w:t xml:space="preserve">á </w:t>
      </w:r>
      <w:r w:rsidR="00127E6F" w:rsidRPr="002B38B9">
        <w:rPr>
          <w:rFonts w:asciiTheme="minorHAnsi" w:hAnsiTheme="minorHAnsi" w:cs="Arial"/>
          <w:sz w:val="20"/>
          <w:szCs w:val="20"/>
        </w:rPr>
        <w:t>na</w:t>
      </w:r>
      <w:r w:rsidR="00872801" w:rsidRPr="002B38B9">
        <w:rPr>
          <w:rFonts w:asciiTheme="minorHAnsi" w:hAnsiTheme="minorHAnsi" w:cs="Arial"/>
          <w:sz w:val="20"/>
          <w:szCs w:val="20"/>
        </w:rPr>
        <w:t xml:space="preserve"> </w:t>
      </w:r>
      <w:r w:rsidR="000F2D71" w:rsidRPr="002B38B9">
        <w:rPr>
          <w:rFonts w:asciiTheme="minorHAnsi" w:hAnsiTheme="minorHAnsi" w:cs="Arial"/>
          <w:sz w:val="20"/>
          <w:szCs w:val="20"/>
        </w:rPr>
        <w:t>průmyslové služby a výzkum a vývoj v oblasti energetiky a implementaci výzkumu v energetickém průmyslu</w:t>
      </w:r>
      <w:r w:rsidR="00127E6F" w:rsidRPr="002B38B9">
        <w:rPr>
          <w:rFonts w:asciiTheme="minorHAnsi" w:hAnsiTheme="minorHAnsi" w:cs="Arial"/>
          <w:sz w:val="20"/>
          <w:szCs w:val="20"/>
        </w:rPr>
        <w:t>.</w:t>
      </w:r>
      <w:r w:rsidR="00703795" w:rsidRPr="002B38B9">
        <w:rPr>
          <w:rFonts w:asciiTheme="minorHAnsi" w:hAnsiTheme="minorHAnsi" w:cs="Arial"/>
          <w:sz w:val="20"/>
          <w:szCs w:val="20"/>
        </w:rPr>
        <w:t xml:space="preserve"> </w:t>
      </w:r>
      <w:r w:rsidR="00B3410E">
        <w:rPr>
          <w:rFonts w:asciiTheme="minorHAnsi" w:hAnsiTheme="minorHAnsi" w:cs="Arial"/>
          <w:sz w:val="20"/>
          <w:szCs w:val="20"/>
        </w:rPr>
        <w:t xml:space="preserve">Projekt výstavby zahrnuje novostavbu zděné dvoupodlažní administrativní budovy se zděnou jednopodlažní halou pro výzkum. </w:t>
      </w:r>
      <w:r w:rsidR="009C2B0C" w:rsidRPr="002B38B9">
        <w:rPr>
          <w:rFonts w:asciiTheme="minorHAnsi" w:hAnsiTheme="minorHAnsi" w:cs="Arial"/>
          <w:sz w:val="20"/>
          <w:szCs w:val="20"/>
        </w:rPr>
        <w:t xml:space="preserve"> </w:t>
      </w:r>
      <w:r w:rsidR="00B3410E">
        <w:rPr>
          <w:rFonts w:asciiTheme="minorHAnsi" w:hAnsiTheme="minorHAnsi" w:cs="Arial"/>
          <w:sz w:val="20"/>
          <w:szCs w:val="20"/>
        </w:rPr>
        <w:t xml:space="preserve">Z důvodu nárůstu projektů z oblasti robotizace a strojového vidění </w:t>
      </w:r>
      <w:r w:rsidR="00960B31">
        <w:rPr>
          <w:rFonts w:asciiTheme="minorHAnsi" w:hAnsiTheme="minorHAnsi" w:cs="Arial"/>
          <w:sz w:val="20"/>
          <w:szCs w:val="20"/>
        </w:rPr>
        <w:t xml:space="preserve">společnost v uplynulém pololetí požádala o možnost rozšíření na vedlejší pozemky o výměře 0,34 ha. Záměr jejich prodeje byl schválen orgány města v 06/2019. </w:t>
      </w:r>
    </w:p>
    <w:p w:rsidR="0017019E" w:rsidRDefault="0017019E" w:rsidP="0071489C">
      <w:pPr>
        <w:pStyle w:val="Zkladntext"/>
        <w:ind w:left="-74"/>
        <w:rPr>
          <w:rFonts w:asciiTheme="minorHAnsi" w:hAnsiTheme="minorHAnsi" w:cs="Arial"/>
          <w:b/>
          <w:sz w:val="22"/>
          <w:szCs w:val="22"/>
        </w:rPr>
      </w:pPr>
    </w:p>
    <w:p w:rsidR="0071489C" w:rsidRDefault="00994336" w:rsidP="0071489C">
      <w:pPr>
        <w:pStyle w:val="Zkladntext"/>
        <w:ind w:left="-74"/>
        <w:rPr>
          <w:rFonts w:asciiTheme="minorHAnsi" w:hAnsiTheme="minorHAnsi" w:cs="Arial"/>
          <w:b/>
          <w:sz w:val="22"/>
          <w:szCs w:val="22"/>
        </w:rPr>
      </w:pPr>
      <w:r w:rsidRPr="00C853DE">
        <w:rPr>
          <w:rFonts w:asciiTheme="minorHAnsi" w:hAnsiTheme="minorHAnsi" w:cs="Arial"/>
          <w:b/>
          <w:sz w:val="22"/>
          <w:szCs w:val="22"/>
        </w:rPr>
        <w:t>Moravskoslezské inovační centrum</w:t>
      </w:r>
      <w:r w:rsidR="00124CA4">
        <w:rPr>
          <w:rFonts w:asciiTheme="minorHAnsi" w:hAnsiTheme="minorHAnsi" w:cs="Arial"/>
          <w:b/>
          <w:sz w:val="22"/>
          <w:szCs w:val="22"/>
        </w:rPr>
        <w:t xml:space="preserve"> (MSIC)</w:t>
      </w:r>
    </w:p>
    <w:p w:rsidR="0071489C" w:rsidRDefault="0071489C" w:rsidP="0071489C">
      <w:pPr>
        <w:pStyle w:val="Zkladntext"/>
        <w:ind w:left="-74"/>
        <w:rPr>
          <w:rFonts w:asciiTheme="minorHAnsi" w:hAnsiTheme="minorHAnsi" w:cs="Arial"/>
          <w:sz w:val="16"/>
          <w:szCs w:val="16"/>
        </w:rPr>
      </w:pPr>
      <w:r w:rsidRPr="008262CC">
        <w:rPr>
          <w:rFonts w:asciiTheme="minorHAnsi" w:hAnsiTheme="minorHAnsi" w:cs="Arial"/>
          <w:sz w:val="16"/>
          <w:szCs w:val="16"/>
        </w:rPr>
        <w:t>Zdroj</w:t>
      </w:r>
      <w:r>
        <w:rPr>
          <w:rFonts w:asciiTheme="minorHAnsi" w:hAnsiTheme="minorHAnsi" w:cs="Arial"/>
          <w:sz w:val="16"/>
          <w:szCs w:val="16"/>
        </w:rPr>
        <w:t xml:space="preserve"> informací</w:t>
      </w:r>
      <w:r w:rsidRPr="008262CC">
        <w:rPr>
          <w:rFonts w:asciiTheme="minorHAnsi" w:hAnsiTheme="minorHAnsi" w:cs="Arial"/>
          <w:sz w:val="16"/>
          <w:szCs w:val="16"/>
        </w:rPr>
        <w:t xml:space="preserve">: </w:t>
      </w:r>
      <w:r>
        <w:rPr>
          <w:rFonts w:asciiTheme="minorHAnsi" w:hAnsiTheme="minorHAnsi" w:cs="Arial"/>
          <w:sz w:val="16"/>
          <w:szCs w:val="16"/>
        </w:rPr>
        <w:t>MS-IC</w:t>
      </w:r>
    </w:p>
    <w:p w:rsidR="00B42567" w:rsidRPr="00B42567" w:rsidRDefault="00B42567" w:rsidP="00B42567">
      <w:pPr>
        <w:rPr>
          <w:rFonts w:asciiTheme="minorHAnsi" w:hAnsiTheme="minorHAnsi"/>
          <w:b/>
          <w:sz w:val="20"/>
          <w:szCs w:val="20"/>
        </w:rPr>
      </w:pPr>
    </w:p>
    <w:p w:rsidR="00B42567" w:rsidRPr="00B42567" w:rsidRDefault="00B42567" w:rsidP="00B42567">
      <w:pPr>
        <w:pStyle w:val="Odstavecseseznamem"/>
        <w:numPr>
          <w:ilvl w:val="0"/>
          <w:numId w:val="13"/>
        </w:numPr>
        <w:spacing w:after="160" w:line="259" w:lineRule="auto"/>
        <w:contextualSpacing/>
        <w:rPr>
          <w:rFonts w:asciiTheme="minorHAnsi" w:hAnsiTheme="minorHAnsi"/>
          <w:b/>
          <w:sz w:val="20"/>
          <w:szCs w:val="20"/>
        </w:rPr>
      </w:pPr>
      <w:r w:rsidRPr="00B42567">
        <w:rPr>
          <w:rFonts w:asciiTheme="minorHAnsi" w:hAnsiTheme="minorHAnsi"/>
          <w:b/>
          <w:sz w:val="20"/>
          <w:szCs w:val="20"/>
        </w:rPr>
        <w:t>Noví významní nájemci</w:t>
      </w:r>
    </w:p>
    <w:p w:rsidR="00B42567" w:rsidRPr="00B42567" w:rsidRDefault="00B42567" w:rsidP="00B42567">
      <w:pPr>
        <w:pStyle w:val="Odstavecseseznamem"/>
        <w:rPr>
          <w:rFonts w:asciiTheme="minorHAnsi" w:hAnsiTheme="minorHAnsi"/>
          <w:sz w:val="20"/>
          <w:szCs w:val="20"/>
        </w:rPr>
      </w:pPr>
    </w:p>
    <w:p w:rsidR="00B42567" w:rsidRDefault="00DF09D3" w:rsidP="0017019E">
      <w:pPr>
        <w:pStyle w:val="Odstavecseseznamem"/>
        <w:spacing w:after="120"/>
        <w:ind w:left="284"/>
        <w:jc w:val="both"/>
        <w:rPr>
          <w:rFonts w:asciiTheme="minorHAnsi" w:hAnsiTheme="minorHAnsi"/>
          <w:sz w:val="20"/>
          <w:szCs w:val="20"/>
        </w:rPr>
      </w:pPr>
      <w:r>
        <w:rPr>
          <w:rFonts w:asciiTheme="minorHAnsi" w:hAnsiTheme="minorHAnsi"/>
          <w:sz w:val="20"/>
          <w:szCs w:val="20"/>
        </w:rPr>
        <w:t xml:space="preserve">V budově </w:t>
      </w:r>
      <w:proofErr w:type="spellStart"/>
      <w:r>
        <w:rPr>
          <w:rFonts w:asciiTheme="minorHAnsi" w:hAnsiTheme="minorHAnsi"/>
          <w:sz w:val="20"/>
          <w:szCs w:val="20"/>
        </w:rPr>
        <w:t>Viva</w:t>
      </w:r>
      <w:proofErr w:type="spellEnd"/>
      <w:r>
        <w:rPr>
          <w:rFonts w:asciiTheme="minorHAnsi" w:hAnsiTheme="minorHAnsi"/>
          <w:sz w:val="20"/>
          <w:szCs w:val="20"/>
        </w:rPr>
        <w:t xml:space="preserve"> nově zasídlila společnost </w:t>
      </w:r>
      <w:proofErr w:type="spellStart"/>
      <w:r w:rsidRPr="00DF09D3">
        <w:rPr>
          <w:rFonts w:asciiTheme="minorHAnsi" w:hAnsiTheme="minorHAnsi"/>
          <w:b/>
          <w:sz w:val="20"/>
          <w:szCs w:val="20"/>
        </w:rPr>
        <w:t>SprayVision</w:t>
      </w:r>
      <w:proofErr w:type="spellEnd"/>
      <w:r w:rsidRPr="00DF09D3">
        <w:rPr>
          <w:rFonts w:asciiTheme="minorHAnsi" w:hAnsiTheme="minorHAnsi"/>
          <w:b/>
          <w:sz w:val="20"/>
          <w:szCs w:val="20"/>
        </w:rPr>
        <w:t xml:space="preserve"> s. r. o.</w:t>
      </w:r>
      <w:r>
        <w:rPr>
          <w:rFonts w:asciiTheme="minorHAnsi" w:hAnsiTheme="minorHAnsi"/>
          <w:sz w:val="20"/>
          <w:szCs w:val="20"/>
        </w:rPr>
        <w:t xml:space="preserve">, </w:t>
      </w:r>
      <w:r w:rsidR="00FB36EE">
        <w:rPr>
          <w:rFonts w:asciiTheme="minorHAnsi" w:hAnsiTheme="minorHAnsi"/>
          <w:sz w:val="20"/>
          <w:szCs w:val="20"/>
        </w:rPr>
        <w:t>jejímž</w:t>
      </w:r>
      <w:r>
        <w:rPr>
          <w:rFonts w:asciiTheme="minorHAnsi" w:hAnsiTheme="minorHAnsi"/>
          <w:sz w:val="20"/>
          <w:szCs w:val="20"/>
        </w:rPr>
        <w:t xml:space="preserve"> produktem je program určený pro nástřik laku, který umožní konstantní kontrolu během celého procesu lakování, využitelný zejména v automobilovém průmyslu. </w:t>
      </w:r>
    </w:p>
    <w:p w:rsidR="0017019E" w:rsidRDefault="0017019E" w:rsidP="0017019E">
      <w:pPr>
        <w:pStyle w:val="Odstavecseseznamem"/>
        <w:spacing w:after="120"/>
        <w:ind w:left="284"/>
        <w:jc w:val="both"/>
        <w:rPr>
          <w:rFonts w:asciiTheme="minorHAnsi" w:hAnsiTheme="minorHAnsi"/>
          <w:sz w:val="20"/>
          <w:szCs w:val="20"/>
        </w:rPr>
      </w:pPr>
      <w:r>
        <w:rPr>
          <w:rFonts w:asciiTheme="minorHAnsi" w:hAnsiTheme="minorHAnsi"/>
          <w:sz w:val="20"/>
          <w:szCs w:val="20"/>
        </w:rPr>
        <w:t xml:space="preserve">V budově Tandem je nově umístěna společnost </w:t>
      </w:r>
      <w:proofErr w:type="spellStart"/>
      <w:r w:rsidRPr="0017019E">
        <w:rPr>
          <w:rFonts w:asciiTheme="minorHAnsi" w:hAnsiTheme="minorHAnsi"/>
          <w:b/>
          <w:sz w:val="20"/>
          <w:szCs w:val="20"/>
        </w:rPr>
        <w:t>Allgeier</w:t>
      </w:r>
      <w:proofErr w:type="spellEnd"/>
      <w:r w:rsidRPr="0017019E">
        <w:rPr>
          <w:rFonts w:asciiTheme="minorHAnsi" w:hAnsiTheme="minorHAnsi"/>
          <w:b/>
          <w:sz w:val="20"/>
          <w:szCs w:val="20"/>
        </w:rPr>
        <w:t xml:space="preserve"> </w:t>
      </w:r>
      <w:proofErr w:type="spellStart"/>
      <w:r w:rsidRPr="0017019E">
        <w:rPr>
          <w:rFonts w:asciiTheme="minorHAnsi" w:hAnsiTheme="minorHAnsi"/>
          <w:b/>
          <w:sz w:val="20"/>
          <w:szCs w:val="20"/>
        </w:rPr>
        <w:t>Engineering</w:t>
      </w:r>
      <w:proofErr w:type="spellEnd"/>
      <w:r w:rsidRPr="0017019E">
        <w:rPr>
          <w:rFonts w:asciiTheme="minorHAnsi" w:hAnsiTheme="minorHAnsi"/>
          <w:b/>
          <w:sz w:val="20"/>
          <w:szCs w:val="20"/>
        </w:rPr>
        <w:t xml:space="preserve"> Czech s. r. o.</w:t>
      </w:r>
      <w:r>
        <w:rPr>
          <w:rFonts w:asciiTheme="minorHAnsi" w:hAnsiTheme="minorHAnsi"/>
          <w:sz w:val="20"/>
          <w:szCs w:val="20"/>
        </w:rPr>
        <w:t xml:space="preserve">, která se zabývá realizací náročných projektů v oblasti IT pro železnice a automobilový průmysl. Podporuje integraci systému, vývoj software a </w:t>
      </w:r>
      <w:r w:rsidR="000826A2">
        <w:rPr>
          <w:rFonts w:asciiTheme="minorHAnsi" w:hAnsiTheme="minorHAnsi"/>
          <w:sz w:val="20"/>
          <w:szCs w:val="20"/>
        </w:rPr>
        <w:t xml:space="preserve">systém </w:t>
      </w:r>
      <w:r>
        <w:rPr>
          <w:rFonts w:asciiTheme="minorHAnsi" w:hAnsiTheme="minorHAnsi"/>
          <w:sz w:val="20"/>
          <w:szCs w:val="20"/>
        </w:rPr>
        <w:t>kvalit</w:t>
      </w:r>
      <w:r w:rsidR="000826A2">
        <w:rPr>
          <w:rFonts w:asciiTheme="minorHAnsi" w:hAnsiTheme="minorHAnsi"/>
          <w:sz w:val="20"/>
          <w:szCs w:val="20"/>
        </w:rPr>
        <w:t>y</w:t>
      </w:r>
      <w:r>
        <w:rPr>
          <w:rFonts w:asciiTheme="minorHAnsi" w:hAnsiTheme="minorHAnsi"/>
          <w:sz w:val="20"/>
          <w:szCs w:val="20"/>
        </w:rPr>
        <w:t xml:space="preserve"> a řízení projektů. Zákazníky jsou známí výrobci a dodavatelé z automobilového a železničního sektoru. </w:t>
      </w:r>
    </w:p>
    <w:p w:rsidR="00AD6FE2" w:rsidRPr="00B42567" w:rsidRDefault="00AD6FE2" w:rsidP="0017019E">
      <w:pPr>
        <w:pStyle w:val="Odstavecseseznamem"/>
        <w:spacing w:after="120"/>
        <w:ind w:left="284"/>
        <w:jc w:val="both"/>
        <w:rPr>
          <w:rFonts w:asciiTheme="minorHAnsi" w:hAnsiTheme="minorHAnsi"/>
          <w:sz w:val="20"/>
          <w:szCs w:val="20"/>
        </w:rPr>
      </w:pPr>
    </w:p>
    <w:p w:rsidR="00B42567" w:rsidRPr="00B42567" w:rsidRDefault="001B1004" w:rsidP="00B42567">
      <w:pPr>
        <w:pStyle w:val="Odstavecseseznamem"/>
        <w:numPr>
          <w:ilvl w:val="0"/>
          <w:numId w:val="13"/>
        </w:numPr>
        <w:spacing w:after="160" w:line="259" w:lineRule="auto"/>
        <w:contextualSpacing/>
        <w:rPr>
          <w:rFonts w:asciiTheme="minorHAnsi" w:hAnsiTheme="minorHAnsi"/>
          <w:b/>
          <w:sz w:val="20"/>
          <w:szCs w:val="20"/>
        </w:rPr>
      </w:pPr>
      <w:r>
        <w:rPr>
          <w:rFonts w:asciiTheme="minorHAnsi" w:hAnsiTheme="minorHAnsi"/>
          <w:b/>
          <w:sz w:val="20"/>
          <w:szCs w:val="20"/>
        </w:rPr>
        <w:t xml:space="preserve">Aktivity realizované v I. pololetí r. 2019 v rámci koordinace implementace RIS MSK a rozvoje individuálních služeb pro firmy </w:t>
      </w:r>
    </w:p>
    <w:p w:rsidR="00B42567" w:rsidRPr="00B42567" w:rsidRDefault="00B42567" w:rsidP="00B42567">
      <w:pPr>
        <w:pStyle w:val="Odstavecseseznamem"/>
        <w:jc w:val="both"/>
        <w:rPr>
          <w:rFonts w:asciiTheme="minorHAnsi" w:hAnsiTheme="minorHAnsi"/>
          <w:b/>
          <w:sz w:val="20"/>
          <w:szCs w:val="20"/>
        </w:rPr>
      </w:pPr>
    </w:p>
    <w:p w:rsidR="00B42567" w:rsidRPr="00B42567" w:rsidRDefault="001B1004" w:rsidP="008070ED">
      <w:pPr>
        <w:pStyle w:val="Odstavecseseznamem"/>
        <w:ind w:left="284"/>
        <w:jc w:val="both"/>
        <w:rPr>
          <w:rFonts w:asciiTheme="minorHAnsi" w:hAnsiTheme="minorHAnsi"/>
          <w:sz w:val="20"/>
          <w:szCs w:val="20"/>
        </w:rPr>
      </w:pPr>
      <w:r>
        <w:rPr>
          <w:rFonts w:asciiTheme="minorHAnsi" w:hAnsiTheme="minorHAnsi"/>
          <w:sz w:val="20"/>
          <w:szCs w:val="20"/>
        </w:rPr>
        <w:t xml:space="preserve">Ve sledovaném období byl dále rozvíjen </w:t>
      </w:r>
      <w:r w:rsidRPr="001B1004">
        <w:rPr>
          <w:rFonts w:asciiTheme="minorHAnsi" w:hAnsiTheme="minorHAnsi"/>
          <w:b/>
          <w:sz w:val="20"/>
          <w:szCs w:val="20"/>
        </w:rPr>
        <w:t>program EXPAND</w:t>
      </w:r>
      <w:r>
        <w:rPr>
          <w:rFonts w:asciiTheme="minorHAnsi" w:hAnsiTheme="minorHAnsi"/>
          <w:sz w:val="20"/>
          <w:szCs w:val="20"/>
        </w:rPr>
        <w:t xml:space="preserve"> a malým a středním firmám byly nabízeny služby v rámci tohoto programu. Ke konci sledovaného období bylo v programu schváleno již 115 projektů, z toho ukončeno bylo </w:t>
      </w:r>
      <w:r>
        <w:rPr>
          <w:rFonts w:asciiTheme="minorHAnsi" w:hAnsiTheme="minorHAnsi"/>
          <w:sz w:val="20"/>
          <w:szCs w:val="20"/>
        </w:rPr>
        <w:lastRenderedPageBreak/>
        <w:t xml:space="preserve">91 projektů. Současně došlo k rozšíření počtu expertů, kteří v rámci </w:t>
      </w:r>
      <w:proofErr w:type="spellStart"/>
      <w:r>
        <w:rPr>
          <w:rFonts w:asciiTheme="minorHAnsi" w:hAnsiTheme="minorHAnsi"/>
          <w:sz w:val="20"/>
          <w:szCs w:val="20"/>
        </w:rPr>
        <w:t>Expand</w:t>
      </w:r>
      <w:proofErr w:type="spellEnd"/>
      <w:r>
        <w:rPr>
          <w:rFonts w:asciiTheme="minorHAnsi" w:hAnsiTheme="minorHAnsi"/>
          <w:sz w:val="20"/>
          <w:szCs w:val="20"/>
        </w:rPr>
        <w:t xml:space="preserve"> poskytují </w:t>
      </w:r>
      <w:r w:rsidR="005A71F9">
        <w:rPr>
          <w:rFonts w:asciiTheme="minorHAnsi" w:hAnsiTheme="minorHAnsi"/>
          <w:sz w:val="20"/>
          <w:szCs w:val="20"/>
        </w:rPr>
        <w:t>své služby</w:t>
      </w:r>
      <w:r>
        <w:rPr>
          <w:rFonts w:asciiTheme="minorHAnsi" w:hAnsiTheme="minorHAnsi"/>
          <w:sz w:val="20"/>
          <w:szCs w:val="20"/>
        </w:rPr>
        <w:t xml:space="preserve">. Aktuálně je databáze tvořeny 108 experty. </w:t>
      </w:r>
      <w:r w:rsidR="00707A36">
        <w:rPr>
          <w:rFonts w:asciiTheme="minorHAnsi" w:hAnsiTheme="minorHAnsi"/>
          <w:sz w:val="20"/>
          <w:szCs w:val="20"/>
        </w:rPr>
        <w:t xml:space="preserve">V lednu 2019 proběhlo první setkání expertů, jehož cílem bylo vzájemné seznámení a představení strategie MSIC na rok 2019. </w:t>
      </w:r>
    </w:p>
    <w:p w:rsidR="00B42567" w:rsidRPr="00B42567" w:rsidRDefault="00B42567" w:rsidP="008070ED">
      <w:pPr>
        <w:pStyle w:val="Odstavecseseznamem"/>
        <w:ind w:left="284"/>
        <w:jc w:val="both"/>
        <w:rPr>
          <w:rFonts w:asciiTheme="minorHAnsi" w:hAnsiTheme="minorHAnsi"/>
          <w:sz w:val="20"/>
          <w:szCs w:val="20"/>
        </w:rPr>
      </w:pPr>
    </w:p>
    <w:p w:rsidR="00B42567" w:rsidRPr="00B42567" w:rsidRDefault="00AA6850" w:rsidP="008070ED">
      <w:pPr>
        <w:pStyle w:val="Odstavecseseznamem"/>
        <w:ind w:left="284"/>
        <w:jc w:val="both"/>
        <w:rPr>
          <w:rFonts w:asciiTheme="minorHAnsi" w:hAnsiTheme="minorHAnsi"/>
          <w:sz w:val="20"/>
          <w:szCs w:val="20"/>
        </w:rPr>
      </w:pPr>
      <w:r>
        <w:rPr>
          <w:rFonts w:asciiTheme="minorHAnsi" w:hAnsiTheme="minorHAnsi"/>
          <w:sz w:val="20"/>
          <w:szCs w:val="20"/>
        </w:rPr>
        <w:t xml:space="preserve">V rámci Dotačního programu MSK na podporu podnikání, který v sobě zahrnuje tři podprogramy - </w:t>
      </w:r>
      <w:r w:rsidRPr="00AA6850">
        <w:rPr>
          <w:rFonts w:asciiTheme="minorHAnsi" w:hAnsiTheme="minorHAnsi"/>
          <w:b/>
          <w:sz w:val="20"/>
          <w:szCs w:val="20"/>
        </w:rPr>
        <w:t>Start</w:t>
      </w:r>
      <w:r w:rsidR="00BF5FE2">
        <w:rPr>
          <w:rFonts w:asciiTheme="minorHAnsi" w:hAnsiTheme="minorHAnsi"/>
          <w:b/>
          <w:sz w:val="20"/>
          <w:szCs w:val="20"/>
        </w:rPr>
        <w:t xml:space="preserve"> U</w:t>
      </w:r>
      <w:r w:rsidRPr="00AA6850">
        <w:rPr>
          <w:rFonts w:asciiTheme="minorHAnsi" w:hAnsiTheme="minorHAnsi"/>
          <w:b/>
          <w:sz w:val="20"/>
          <w:szCs w:val="20"/>
        </w:rPr>
        <w:t>p Voucher</w:t>
      </w:r>
      <w:r>
        <w:rPr>
          <w:rFonts w:asciiTheme="minorHAnsi" w:hAnsiTheme="minorHAnsi"/>
          <w:sz w:val="20"/>
          <w:szCs w:val="20"/>
        </w:rPr>
        <w:t xml:space="preserve"> (určený pro osoby na počátku vlastní podnikatelské kariéry, které předloží propracovaný podnikatelský plán vytvořený ve spolupráci s koučem), </w:t>
      </w:r>
      <w:proofErr w:type="spellStart"/>
      <w:r w:rsidRPr="00AA6850">
        <w:rPr>
          <w:rFonts w:asciiTheme="minorHAnsi" w:hAnsiTheme="minorHAnsi"/>
          <w:b/>
          <w:sz w:val="20"/>
          <w:szCs w:val="20"/>
        </w:rPr>
        <w:t>TechArt</w:t>
      </w:r>
      <w:proofErr w:type="spellEnd"/>
      <w:r w:rsidRPr="00AA6850">
        <w:rPr>
          <w:rFonts w:asciiTheme="minorHAnsi" w:hAnsiTheme="minorHAnsi"/>
          <w:b/>
          <w:sz w:val="20"/>
          <w:szCs w:val="20"/>
        </w:rPr>
        <w:t xml:space="preserve"> Voucher</w:t>
      </w:r>
      <w:r>
        <w:rPr>
          <w:rFonts w:asciiTheme="minorHAnsi" w:hAnsiTheme="minorHAnsi"/>
          <w:sz w:val="20"/>
          <w:szCs w:val="20"/>
        </w:rPr>
        <w:t xml:space="preserve"> </w:t>
      </w:r>
      <w:r w:rsidRPr="00B42567">
        <w:rPr>
          <w:rFonts w:asciiTheme="minorHAnsi" w:hAnsiTheme="minorHAnsi"/>
          <w:sz w:val="20"/>
          <w:szCs w:val="20"/>
        </w:rPr>
        <w:t>(zaměřen</w:t>
      </w:r>
      <w:r>
        <w:rPr>
          <w:rFonts w:asciiTheme="minorHAnsi" w:hAnsiTheme="minorHAnsi"/>
          <w:sz w:val="20"/>
          <w:szCs w:val="20"/>
        </w:rPr>
        <w:t>ý</w:t>
      </w:r>
      <w:r w:rsidRPr="00B42567">
        <w:rPr>
          <w:rFonts w:asciiTheme="minorHAnsi" w:hAnsiTheme="minorHAnsi"/>
          <w:sz w:val="20"/>
          <w:szCs w:val="20"/>
        </w:rPr>
        <w:t xml:space="preserve"> </w:t>
      </w:r>
      <w:r w:rsidRPr="00B42567">
        <w:rPr>
          <w:rFonts w:asciiTheme="minorHAnsi" w:hAnsiTheme="minorHAnsi" w:cs="Open Sans"/>
          <w:sz w:val="20"/>
          <w:szCs w:val="20"/>
        </w:rPr>
        <w:t xml:space="preserve">na aplikaci metod průmyslového designu </w:t>
      </w:r>
      <w:r w:rsidR="00E922B2">
        <w:rPr>
          <w:rFonts w:asciiTheme="minorHAnsi" w:hAnsiTheme="minorHAnsi" w:cs="Open Sans"/>
          <w:sz w:val="20"/>
          <w:szCs w:val="20"/>
        </w:rPr>
        <w:br/>
      </w:r>
      <w:r w:rsidRPr="00B42567">
        <w:rPr>
          <w:rFonts w:asciiTheme="minorHAnsi" w:hAnsiTheme="minorHAnsi" w:cs="Open Sans"/>
          <w:sz w:val="20"/>
          <w:szCs w:val="20"/>
        </w:rPr>
        <w:t>pro inovace ve firmách)</w:t>
      </w:r>
      <w:r>
        <w:rPr>
          <w:rFonts w:asciiTheme="minorHAnsi" w:hAnsiTheme="minorHAnsi" w:cs="Open Sans"/>
          <w:sz w:val="20"/>
          <w:szCs w:val="20"/>
        </w:rPr>
        <w:t xml:space="preserve"> a </w:t>
      </w:r>
      <w:proofErr w:type="spellStart"/>
      <w:r w:rsidRPr="00AA6850">
        <w:rPr>
          <w:rFonts w:asciiTheme="minorHAnsi" w:hAnsiTheme="minorHAnsi" w:cs="Open Sans"/>
          <w:b/>
          <w:sz w:val="20"/>
          <w:szCs w:val="20"/>
        </w:rPr>
        <w:t>InnoBooster</w:t>
      </w:r>
      <w:proofErr w:type="spellEnd"/>
      <w:r w:rsidRPr="00AA6850">
        <w:rPr>
          <w:rFonts w:asciiTheme="minorHAnsi" w:hAnsiTheme="minorHAnsi" w:cs="Open Sans"/>
          <w:b/>
          <w:sz w:val="20"/>
          <w:szCs w:val="20"/>
        </w:rPr>
        <w:t xml:space="preserve"> Voucher</w:t>
      </w:r>
      <w:r>
        <w:rPr>
          <w:rFonts w:asciiTheme="minorHAnsi" w:hAnsiTheme="minorHAnsi" w:cs="Open Sans"/>
          <w:sz w:val="20"/>
          <w:szCs w:val="20"/>
        </w:rPr>
        <w:t xml:space="preserve"> (zaměřený na podporu inovací ve firmách a rozvoj nových produktů pomocí zaměstnávání „seniorních“ zaměstnanců)</w:t>
      </w:r>
      <w:r w:rsidR="000917A9">
        <w:rPr>
          <w:rFonts w:asciiTheme="minorHAnsi" w:hAnsiTheme="minorHAnsi" w:cs="Open Sans"/>
          <w:sz w:val="20"/>
          <w:szCs w:val="20"/>
        </w:rPr>
        <w:t>,</w:t>
      </w:r>
      <w:r>
        <w:rPr>
          <w:rFonts w:asciiTheme="minorHAnsi" w:hAnsiTheme="minorHAnsi" w:cs="Open Sans"/>
          <w:sz w:val="20"/>
          <w:szCs w:val="20"/>
        </w:rPr>
        <w:t xml:space="preserve"> byla připravena další výzva. </w:t>
      </w:r>
    </w:p>
    <w:p w:rsidR="00B42567" w:rsidRDefault="00AA6850" w:rsidP="008070ED">
      <w:pPr>
        <w:pStyle w:val="Odstavecseseznamem"/>
        <w:ind w:left="284"/>
        <w:jc w:val="both"/>
        <w:rPr>
          <w:rFonts w:asciiTheme="minorHAnsi" w:hAnsiTheme="minorHAnsi"/>
          <w:sz w:val="20"/>
          <w:szCs w:val="20"/>
        </w:rPr>
      </w:pPr>
      <w:r>
        <w:rPr>
          <w:rFonts w:asciiTheme="minorHAnsi" w:hAnsiTheme="minorHAnsi"/>
          <w:sz w:val="20"/>
          <w:szCs w:val="20"/>
        </w:rPr>
        <w:t xml:space="preserve">V nové výzvě došlo k několika změnám oproti roku 2018 - byl upraven proces podávání žádostí, změněn systém hodnocení atd. Tato výzva byla vyhlášena na jaře 2019. </w:t>
      </w:r>
    </w:p>
    <w:p w:rsidR="00AA6850" w:rsidRPr="00B42567" w:rsidRDefault="00AA6850" w:rsidP="008070ED">
      <w:pPr>
        <w:pStyle w:val="Odstavecseseznamem"/>
        <w:ind w:left="284"/>
        <w:jc w:val="both"/>
        <w:rPr>
          <w:rFonts w:asciiTheme="minorHAnsi" w:hAnsiTheme="minorHAnsi"/>
          <w:sz w:val="20"/>
          <w:szCs w:val="20"/>
        </w:rPr>
      </w:pPr>
    </w:p>
    <w:p w:rsidR="00B42567" w:rsidRPr="00A9522A" w:rsidRDefault="001C069F" w:rsidP="001C069F">
      <w:pPr>
        <w:pStyle w:val="Odstavecseseznamem"/>
        <w:numPr>
          <w:ilvl w:val="0"/>
          <w:numId w:val="25"/>
        </w:numPr>
        <w:ind w:left="709" w:hanging="425"/>
        <w:jc w:val="both"/>
        <w:rPr>
          <w:rFonts w:asciiTheme="minorHAnsi" w:hAnsiTheme="minorHAnsi"/>
          <w:sz w:val="20"/>
          <w:szCs w:val="20"/>
        </w:rPr>
      </w:pPr>
      <w:r>
        <w:rPr>
          <w:rFonts w:asciiTheme="minorHAnsi" w:hAnsiTheme="minorHAnsi"/>
          <w:sz w:val="20"/>
          <w:szCs w:val="20"/>
        </w:rPr>
        <w:t>v</w:t>
      </w:r>
      <w:r w:rsidR="00B42567" w:rsidRPr="00B42567">
        <w:rPr>
          <w:rFonts w:asciiTheme="minorHAnsi" w:hAnsiTheme="minorHAnsi"/>
          <w:sz w:val="20"/>
          <w:szCs w:val="20"/>
        </w:rPr>
        <w:t xml:space="preserve">e službě </w:t>
      </w:r>
      <w:r w:rsidR="00B42567" w:rsidRPr="00B42567">
        <w:rPr>
          <w:rFonts w:asciiTheme="minorHAnsi" w:hAnsiTheme="minorHAnsi"/>
          <w:b/>
          <w:sz w:val="20"/>
          <w:szCs w:val="20"/>
        </w:rPr>
        <w:t>Start</w:t>
      </w:r>
      <w:r w:rsidR="00BF5FE2">
        <w:rPr>
          <w:rFonts w:asciiTheme="minorHAnsi" w:hAnsiTheme="minorHAnsi"/>
          <w:b/>
          <w:sz w:val="20"/>
          <w:szCs w:val="20"/>
        </w:rPr>
        <w:t xml:space="preserve"> </w:t>
      </w:r>
      <w:r w:rsidR="00B42567" w:rsidRPr="00B42567">
        <w:rPr>
          <w:rFonts w:asciiTheme="minorHAnsi" w:hAnsiTheme="minorHAnsi"/>
          <w:b/>
          <w:sz w:val="20"/>
          <w:szCs w:val="20"/>
        </w:rPr>
        <w:t xml:space="preserve">Up </w:t>
      </w:r>
      <w:r w:rsidR="00A9522A">
        <w:rPr>
          <w:rFonts w:asciiTheme="minorHAnsi" w:hAnsiTheme="minorHAnsi"/>
          <w:b/>
          <w:sz w:val="20"/>
          <w:szCs w:val="20"/>
        </w:rPr>
        <w:t>V</w:t>
      </w:r>
      <w:r w:rsidR="00B42567" w:rsidRPr="00B42567">
        <w:rPr>
          <w:rFonts w:asciiTheme="minorHAnsi" w:hAnsiTheme="minorHAnsi"/>
          <w:b/>
          <w:sz w:val="20"/>
          <w:szCs w:val="20"/>
        </w:rPr>
        <w:t xml:space="preserve">oucher </w:t>
      </w:r>
      <w:r w:rsidR="00A9522A">
        <w:rPr>
          <w:rFonts w:asciiTheme="minorHAnsi" w:hAnsiTheme="minorHAnsi"/>
          <w:sz w:val="20"/>
          <w:szCs w:val="20"/>
        </w:rPr>
        <w:t>-</w:t>
      </w:r>
      <w:r>
        <w:rPr>
          <w:rFonts w:asciiTheme="minorHAnsi" w:hAnsiTheme="minorHAnsi" w:cs="Open Sans"/>
          <w:sz w:val="20"/>
          <w:szCs w:val="20"/>
        </w:rPr>
        <w:t xml:space="preserve"> </w:t>
      </w:r>
      <w:r w:rsidR="00A9522A">
        <w:rPr>
          <w:rFonts w:asciiTheme="minorHAnsi" w:hAnsiTheme="minorHAnsi" w:cs="Open Sans"/>
          <w:sz w:val="20"/>
          <w:szCs w:val="20"/>
        </w:rPr>
        <w:t xml:space="preserve">předloženo celkem 57 žádostí </w:t>
      </w:r>
    </w:p>
    <w:p w:rsidR="00A9522A" w:rsidRDefault="00A9522A" w:rsidP="00A9522A">
      <w:pPr>
        <w:pStyle w:val="Odstavecseseznamem"/>
        <w:numPr>
          <w:ilvl w:val="0"/>
          <w:numId w:val="25"/>
        </w:numPr>
        <w:ind w:left="709" w:hanging="425"/>
        <w:jc w:val="both"/>
        <w:rPr>
          <w:rFonts w:asciiTheme="minorHAnsi" w:hAnsiTheme="minorHAnsi"/>
          <w:sz w:val="20"/>
          <w:szCs w:val="20"/>
        </w:rPr>
      </w:pPr>
      <w:r>
        <w:rPr>
          <w:rFonts w:asciiTheme="minorHAnsi" w:hAnsiTheme="minorHAnsi"/>
          <w:sz w:val="20"/>
          <w:szCs w:val="20"/>
        </w:rPr>
        <w:t>v</w:t>
      </w:r>
      <w:r w:rsidRPr="00B42567">
        <w:rPr>
          <w:rFonts w:asciiTheme="minorHAnsi" w:hAnsiTheme="minorHAnsi"/>
          <w:sz w:val="20"/>
          <w:szCs w:val="20"/>
        </w:rPr>
        <w:t xml:space="preserve">e službě </w:t>
      </w:r>
      <w:proofErr w:type="spellStart"/>
      <w:r w:rsidRPr="00B42567">
        <w:rPr>
          <w:rFonts w:asciiTheme="minorHAnsi" w:hAnsiTheme="minorHAnsi"/>
          <w:b/>
          <w:sz w:val="20"/>
          <w:szCs w:val="20"/>
        </w:rPr>
        <w:t>TechArt</w:t>
      </w:r>
      <w:proofErr w:type="spellEnd"/>
      <w:r w:rsidRPr="00B42567">
        <w:rPr>
          <w:rFonts w:asciiTheme="minorHAnsi" w:hAnsiTheme="minorHAnsi"/>
          <w:b/>
          <w:sz w:val="20"/>
          <w:szCs w:val="20"/>
        </w:rPr>
        <w:t xml:space="preserve"> </w:t>
      </w:r>
      <w:r>
        <w:rPr>
          <w:rFonts w:asciiTheme="minorHAnsi" w:hAnsiTheme="minorHAnsi"/>
          <w:b/>
          <w:sz w:val="20"/>
          <w:szCs w:val="20"/>
        </w:rPr>
        <w:t>V</w:t>
      </w:r>
      <w:r w:rsidRPr="00B42567">
        <w:rPr>
          <w:rFonts w:asciiTheme="minorHAnsi" w:hAnsiTheme="minorHAnsi"/>
          <w:b/>
          <w:sz w:val="20"/>
          <w:szCs w:val="20"/>
        </w:rPr>
        <w:t>oucher</w:t>
      </w:r>
      <w:r w:rsidRPr="00B42567">
        <w:rPr>
          <w:rFonts w:asciiTheme="minorHAnsi" w:hAnsiTheme="minorHAnsi"/>
          <w:sz w:val="20"/>
          <w:szCs w:val="20"/>
        </w:rPr>
        <w:t xml:space="preserve"> </w:t>
      </w:r>
      <w:r>
        <w:rPr>
          <w:rFonts w:asciiTheme="minorHAnsi" w:hAnsiTheme="minorHAnsi"/>
          <w:sz w:val="20"/>
          <w:szCs w:val="20"/>
        </w:rPr>
        <w:t xml:space="preserve">- předloženo 5 žádostí </w:t>
      </w:r>
    </w:p>
    <w:p w:rsidR="00A9522A" w:rsidRPr="00B42567" w:rsidRDefault="00A9522A" w:rsidP="00A9522A">
      <w:pPr>
        <w:pStyle w:val="Odstavecseseznamem"/>
        <w:numPr>
          <w:ilvl w:val="0"/>
          <w:numId w:val="25"/>
        </w:numPr>
        <w:ind w:left="709" w:hanging="425"/>
        <w:jc w:val="both"/>
        <w:rPr>
          <w:rFonts w:asciiTheme="minorHAnsi" w:hAnsiTheme="minorHAnsi" w:cs="Open Sans"/>
          <w:sz w:val="20"/>
          <w:szCs w:val="20"/>
        </w:rPr>
      </w:pPr>
      <w:r>
        <w:rPr>
          <w:rFonts w:asciiTheme="minorHAnsi" w:hAnsiTheme="minorHAnsi" w:cs="Open Sans"/>
          <w:sz w:val="20"/>
          <w:szCs w:val="20"/>
        </w:rPr>
        <w:t>v</w:t>
      </w:r>
      <w:r w:rsidRPr="00B42567">
        <w:rPr>
          <w:rFonts w:asciiTheme="minorHAnsi" w:hAnsiTheme="minorHAnsi" w:cs="Open Sans"/>
          <w:sz w:val="20"/>
          <w:szCs w:val="20"/>
        </w:rPr>
        <w:t xml:space="preserve">e službě </w:t>
      </w:r>
      <w:proofErr w:type="spellStart"/>
      <w:r w:rsidRPr="00B42567">
        <w:rPr>
          <w:rFonts w:asciiTheme="minorHAnsi" w:hAnsiTheme="minorHAnsi" w:cs="Open Sans"/>
          <w:b/>
          <w:sz w:val="20"/>
          <w:szCs w:val="20"/>
        </w:rPr>
        <w:t>InnoBooster</w:t>
      </w:r>
      <w:proofErr w:type="spellEnd"/>
      <w:r w:rsidRPr="00B42567">
        <w:rPr>
          <w:rFonts w:asciiTheme="minorHAnsi" w:hAnsiTheme="minorHAnsi" w:cs="Open Sans"/>
          <w:sz w:val="20"/>
          <w:szCs w:val="20"/>
        </w:rPr>
        <w:t xml:space="preserve"> </w:t>
      </w:r>
      <w:r w:rsidRPr="00A9522A">
        <w:rPr>
          <w:rFonts w:asciiTheme="minorHAnsi" w:hAnsiTheme="minorHAnsi" w:cs="Open Sans"/>
          <w:b/>
          <w:sz w:val="20"/>
          <w:szCs w:val="20"/>
        </w:rPr>
        <w:t>Voucher</w:t>
      </w:r>
      <w:r>
        <w:rPr>
          <w:rFonts w:asciiTheme="minorHAnsi" w:hAnsiTheme="minorHAnsi" w:cs="Open Sans"/>
          <w:sz w:val="20"/>
          <w:szCs w:val="20"/>
        </w:rPr>
        <w:t xml:space="preserve"> - předloženo 18 žádostí</w:t>
      </w:r>
    </w:p>
    <w:p w:rsidR="00A9522A" w:rsidRPr="00A9522A" w:rsidRDefault="00A9522A" w:rsidP="00E922B2">
      <w:pPr>
        <w:spacing w:before="120"/>
        <w:ind w:left="284"/>
        <w:jc w:val="both"/>
        <w:rPr>
          <w:rFonts w:asciiTheme="minorHAnsi" w:hAnsiTheme="minorHAnsi"/>
          <w:sz w:val="20"/>
          <w:szCs w:val="20"/>
        </w:rPr>
      </w:pPr>
      <w:r>
        <w:rPr>
          <w:rFonts w:asciiTheme="minorHAnsi" w:hAnsiTheme="minorHAnsi"/>
          <w:sz w:val="20"/>
          <w:szCs w:val="20"/>
        </w:rPr>
        <w:t xml:space="preserve">V červnu 2019 proběhlo hodnocení žádostí. Oficiální výsledky budou žadatelům oznámeny v září 2019. </w:t>
      </w:r>
    </w:p>
    <w:p w:rsidR="00B42567" w:rsidRPr="00B42567" w:rsidRDefault="00B42567" w:rsidP="008070ED">
      <w:pPr>
        <w:pStyle w:val="Odstavecseseznamem"/>
        <w:ind w:left="284"/>
        <w:jc w:val="both"/>
        <w:rPr>
          <w:rFonts w:asciiTheme="minorHAnsi" w:hAnsiTheme="minorHAnsi"/>
          <w:sz w:val="20"/>
          <w:szCs w:val="20"/>
        </w:rPr>
      </w:pPr>
    </w:p>
    <w:p w:rsidR="00B42567" w:rsidRDefault="00A9522A" w:rsidP="00F45B05">
      <w:pPr>
        <w:pStyle w:val="Odstavecseseznamem"/>
        <w:spacing w:after="120"/>
        <w:ind w:left="284"/>
        <w:jc w:val="both"/>
        <w:rPr>
          <w:rFonts w:asciiTheme="minorHAnsi" w:hAnsiTheme="minorHAnsi"/>
          <w:sz w:val="20"/>
          <w:szCs w:val="20"/>
        </w:rPr>
      </w:pPr>
      <w:r>
        <w:rPr>
          <w:rFonts w:asciiTheme="minorHAnsi" w:hAnsiTheme="minorHAnsi"/>
          <w:sz w:val="20"/>
          <w:szCs w:val="20"/>
        </w:rPr>
        <w:t>V první polovině r. 2019 byl finalizován</w:t>
      </w:r>
      <w:r w:rsidR="00B42567" w:rsidRPr="00B42567">
        <w:rPr>
          <w:rFonts w:asciiTheme="minorHAnsi" w:hAnsiTheme="minorHAnsi"/>
          <w:sz w:val="20"/>
          <w:szCs w:val="20"/>
        </w:rPr>
        <w:t xml:space="preserve"> koncept programu </w:t>
      </w:r>
      <w:r w:rsidR="00B42567" w:rsidRPr="00B42567">
        <w:rPr>
          <w:rFonts w:asciiTheme="minorHAnsi" w:hAnsiTheme="minorHAnsi"/>
          <w:b/>
          <w:sz w:val="20"/>
          <w:szCs w:val="20"/>
        </w:rPr>
        <w:t>Výroba funkčních vzorků a prototypů</w:t>
      </w:r>
      <w:r>
        <w:rPr>
          <w:rFonts w:asciiTheme="minorHAnsi" w:hAnsiTheme="minorHAnsi"/>
          <w:b/>
          <w:sz w:val="20"/>
          <w:szCs w:val="20"/>
        </w:rPr>
        <w:t xml:space="preserve"> </w:t>
      </w:r>
      <w:r w:rsidRPr="00A9522A">
        <w:rPr>
          <w:rFonts w:asciiTheme="minorHAnsi" w:hAnsiTheme="minorHAnsi"/>
          <w:sz w:val="20"/>
          <w:szCs w:val="20"/>
        </w:rPr>
        <w:t>(FVP)</w:t>
      </w:r>
      <w:r>
        <w:rPr>
          <w:rFonts w:asciiTheme="minorHAnsi" w:hAnsiTheme="minorHAnsi"/>
          <w:sz w:val="20"/>
          <w:szCs w:val="20"/>
        </w:rPr>
        <w:t xml:space="preserve"> a </w:t>
      </w:r>
      <w:r w:rsidR="00233C5A">
        <w:rPr>
          <w:rFonts w:asciiTheme="minorHAnsi" w:hAnsiTheme="minorHAnsi"/>
          <w:sz w:val="20"/>
          <w:szCs w:val="20"/>
        </w:rPr>
        <w:br/>
      </w:r>
      <w:r>
        <w:rPr>
          <w:rFonts w:asciiTheme="minorHAnsi" w:hAnsiTheme="minorHAnsi"/>
          <w:sz w:val="20"/>
          <w:szCs w:val="20"/>
        </w:rPr>
        <w:t xml:space="preserve">na podporu UX. Pilotní výzva bude vyhlášena na podzim 2019. </w:t>
      </w:r>
    </w:p>
    <w:p w:rsidR="001329D7" w:rsidRDefault="001329D7" w:rsidP="00F45B05">
      <w:pPr>
        <w:pStyle w:val="Odstavecseseznamem"/>
        <w:spacing w:after="120"/>
        <w:ind w:left="284"/>
        <w:jc w:val="both"/>
        <w:rPr>
          <w:rFonts w:asciiTheme="minorHAnsi" w:hAnsiTheme="minorHAnsi"/>
          <w:sz w:val="20"/>
          <w:szCs w:val="20"/>
        </w:rPr>
      </w:pPr>
      <w:r>
        <w:rPr>
          <w:rFonts w:asciiTheme="minorHAnsi" w:hAnsiTheme="minorHAnsi"/>
          <w:sz w:val="20"/>
          <w:szCs w:val="20"/>
        </w:rPr>
        <w:t xml:space="preserve">MSIC také podpořil přípravu 12 žádostí do fáze 1 a podání 2 žádostí do fáze 2 evropského programu </w:t>
      </w:r>
      <w:r w:rsidR="00233C5A">
        <w:rPr>
          <w:rFonts w:asciiTheme="minorHAnsi" w:hAnsiTheme="minorHAnsi"/>
          <w:sz w:val="20"/>
          <w:szCs w:val="20"/>
        </w:rPr>
        <w:br/>
      </w:r>
      <w:r w:rsidRPr="001329D7">
        <w:rPr>
          <w:rFonts w:asciiTheme="minorHAnsi" w:hAnsiTheme="minorHAnsi"/>
          <w:b/>
          <w:sz w:val="20"/>
          <w:szCs w:val="20"/>
        </w:rPr>
        <w:t>SME-Instrument</w:t>
      </w:r>
      <w:r>
        <w:rPr>
          <w:rFonts w:asciiTheme="minorHAnsi" w:hAnsiTheme="minorHAnsi"/>
          <w:sz w:val="20"/>
          <w:szCs w:val="20"/>
        </w:rPr>
        <w:t>.</w:t>
      </w:r>
    </w:p>
    <w:p w:rsidR="001329D7" w:rsidRDefault="001329D7" w:rsidP="00F45B05">
      <w:pPr>
        <w:pStyle w:val="Odstavecseseznamem"/>
        <w:spacing w:after="120"/>
        <w:ind w:left="284"/>
        <w:jc w:val="both"/>
        <w:rPr>
          <w:rFonts w:asciiTheme="minorHAnsi" w:hAnsiTheme="minorHAnsi"/>
          <w:sz w:val="20"/>
          <w:szCs w:val="20"/>
        </w:rPr>
      </w:pPr>
      <w:r>
        <w:rPr>
          <w:rFonts w:asciiTheme="minorHAnsi" w:hAnsiTheme="minorHAnsi"/>
          <w:sz w:val="20"/>
          <w:szCs w:val="20"/>
        </w:rPr>
        <w:t xml:space="preserve">V rámci služby </w:t>
      </w:r>
      <w:proofErr w:type="spellStart"/>
      <w:r w:rsidRPr="001329D7">
        <w:rPr>
          <w:rFonts w:asciiTheme="minorHAnsi" w:hAnsiTheme="minorHAnsi"/>
          <w:b/>
          <w:sz w:val="20"/>
          <w:szCs w:val="20"/>
        </w:rPr>
        <w:t>Scale</w:t>
      </w:r>
      <w:proofErr w:type="spellEnd"/>
      <w:r>
        <w:rPr>
          <w:rFonts w:asciiTheme="minorHAnsi" w:hAnsiTheme="minorHAnsi"/>
          <w:b/>
          <w:sz w:val="20"/>
          <w:szCs w:val="20"/>
        </w:rPr>
        <w:t xml:space="preserve"> </w:t>
      </w:r>
      <w:r w:rsidRPr="001329D7">
        <w:rPr>
          <w:rFonts w:asciiTheme="minorHAnsi" w:hAnsiTheme="minorHAnsi"/>
          <w:b/>
          <w:sz w:val="20"/>
          <w:szCs w:val="20"/>
        </w:rPr>
        <w:t>Up</w:t>
      </w:r>
      <w:r>
        <w:rPr>
          <w:rFonts w:asciiTheme="minorHAnsi" w:hAnsiTheme="minorHAnsi"/>
          <w:sz w:val="20"/>
          <w:szCs w:val="20"/>
        </w:rPr>
        <w:t xml:space="preserve"> (zaměřené na majitele mladých technologických firem se silnou růstovou ambicí a velkým růstem tržeb či počtem zaměstnanců) byly </w:t>
      </w:r>
      <w:r w:rsidRPr="001329D7">
        <w:rPr>
          <w:rFonts w:asciiTheme="minorHAnsi" w:hAnsiTheme="minorHAnsi"/>
          <w:b/>
          <w:sz w:val="20"/>
          <w:szCs w:val="20"/>
        </w:rPr>
        <w:t>ukončeny 3 pilotní projekty</w:t>
      </w:r>
      <w:r>
        <w:rPr>
          <w:rFonts w:asciiTheme="minorHAnsi" w:hAnsiTheme="minorHAnsi"/>
          <w:sz w:val="20"/>
          <w:szCs w:val="20"/>
        </w:rPr>
        <w:t xml:space="preserve">, a to u firem </w:t>
      </w:r>
      <w:proofErr w:type="spellStart"/>
      <w:r>
        <w:rPr>
          <w:rFonts w:asciiTheme="minorHAnsi" w:hAnsiTheme="minorHAnsi"/>
          <w:sz w:val="20"/>
          <w:szCs w:val="20"/>
        </w:rPr>
        <w:t>Invira</w:t>
      </w:r>
      <w:proofErr w:type="spellEnd"/>
      <w:r>
        <w:rPr>
          <w:rFonts w:asciiTheme="minorHAnsi" w:hAnsiTheme="minorHAnsi"/>
          <w:sz w:val="20"/>
          <w:szCs w:val="20"/>
        </w:rPr>
        <w:t xml:space="preserve">, </w:t>
      </w:r>
      <w:proofErr w:type="spellStart"/>
      <w:r>
        <w:rPr>
          <w:rFonts w:asciiTheme="minorHAnsi" w:hAnsiTheme="minorHAnsi"/>
          <w:sz w:val="20"/>
          <w:szCs w:val="20"/>
        </w:rPr>
        <w:t>WOClub</w:t>
      </w:r>
      <w:proofErr w:type="spellEnd"/>
      <w:r>
        <w:rPr>
          <w:rFonts w:asciiTheme="minorHAnsi" w:hAnsiTheme="minorHAnsi"/>
          <w:sz w:val="20"/>
          <w:szCs w:val="20"/>
        </w:rPr>
        <w:t xml:space="preserve"> a </w:t>
      </w:r>
      <w:proofErr w:type="spellStart"/>
      <w:r>
        <w:rPr>
          <w:rFonts w:asciiTheme="minorHAnsi" w:hAnsiTheme="minorHAnsi"/>
          <w:sz w:val="20"/>
          <w:szCs w:val="20"/>
        </w:rPr>
        <w:t>Central</w:t>
      </w:r>
      <w:proofErr w:type="spellEnd"/>
      <w:r>
        <w:rPr>
          <w:rFonts w:asciiTheme="minorHAnsi" w:hAnsiTheme="minorHAnsi"/>
          <w:sz w:val="20"/>
          <w:szCs w:val="20"/>
        </w:rPr>
        <w:t xml:space="preserve"> </w:t>
      </w:r>
      <w:proofErr w:type="spellStart"/>
      <w:r>
        <w:rPr>
          <w:rFonts w:asciiTheme="minorHAnsi" w:hAnsiTheme="minorHAnsi"/>
          <w:sz w:val="20"/>
          <w:szCs w:val="20"/>
        </w:rPr>
        <w:t>Warehouse</w:t>
      </w:r>
      <w:proofErr w:type="spellEnd"/>
      <w:r>
        <w:rPr>
          <w:rFonts w:asciiTheme="minorHAnsi" w:hAnsiTheme="minorHAnsi"/>
          <w:sz w:val="20"/>
          <w:szCs w:val="20"/>
        </w:rPr>
        <w:t xml:space="preserve"> </w:t>
      </w:r>
      <w:proofErr w:type="spellStart"/>
      <w:r>
        <w:rPr>
          <w:rFonts w:asciiTheme="minorHAnsi" w:hAnsiTheme="minorHAnsi"/>
          <w:sz w:val="20"/>
          <w:szCs w:val="20"/>
        </w:rPr>
        <w:t>Solution</w:t>
      </w:r>
      <w:proofErr w:type="spellEnd"/>
      <w:r>
        <w:rPr>
          <w:rFonts w:asciiTheme="minorHAnsi" w:hAnsiTheme="minorHAnsi"/>
          <w:sz w:val="20"/>
          <w:szCs w:val="20"/>
        </w:rPr>
        <w:t xml:space="preserve">. </w:t>
      </w:r>
    </w:p>
    <w:p w:rsidR="001329D7" w:rsidRDefault="001329D7" w:rsidP="00F45B05">
      <w:pPr>
        <w:pStyle w:val="Odstavecseseznamem"/>
        <w:spacing w:after="120"/>
        <w:ind w:left="284"/>
        <w:jc w:val="both"/>
        <w:rPr>
          <w:rFonts w:asciiTheme="minorHAnsi" w:hAnsiTheme="minorHAnsi"/>
          <w:sz w:val="20"/>
          <w:szCs w:val="20"/>
        </w:rPr>
      </w:pPr>
      <w:r>
        <w:rPr>
          <w:rFonts w:asciiTheme="minorHAnsi" w:hAnsiTheme="minorHAnsi"/>
          <w:sz w:val="20"/>
          <w:szCs w:val="20"/>
        </w:rPr>
        <w:t xml:space="preserve">V rámci strategického projektu </w:t>
      </w:r>
      <w:r w:rsidRPr="001329D7">
        <w:rPr>
          <w:rFonts w:asciiTheme="minorHAnsi" w:hAnsiTheme="minorHAnsi"/>
          <w:b/>
          <w:sz w:val="20"/>
          <w:szCs w:val="20"/>
        </w:rPr>
        <w:t xml:space="preserve">Talent </w:t>
      </w:r>
      <w:proofErr w:type="spellStart"/>
      <w:r w:rsidRPr="001329D7">
        <w:rPr>
          <w:rFonts w:asciiTheme="minorHAnsi" w:hAnsiTheme="minorHAnsi"/>
          <w:b/>
          <w:sz w:val="20"/>
          <w:szCs w:val="20"/>
        </w:rPr>
        <w:t>Attraction</w:t>
      </w:r>
      <w:proofErr w:type="spellEnd"/>
      <w:r w:rsidRPr="001329D7">
        <w:rPr>
          <w:rFonts w:asciiTheme="minorHAnsi" w:hAnsiTheme="minorHAnsi"/>
          <w:b/>
          <w:sz w:val="20"/>
          <w:szCs w:val="20"/>
        </w:rPr>
        <w:t xml:space="preserve"> Management</w:t>
      </w:r>
      <w:r>
        <w:rPr>
          <w:rFonts w:asciiTheme="minorHAnsi" w:hAnsiTheme="minorHAnsi"/>
          <w:sz w:val="20"/>
          <w:szCs w:val="20"/>
        </w:rPr>
        <w:t xml:space="preserve"> byl připraven koncept fungování pilotní fáze </w:t>
      </w:r>
      <w:proofErr w:type="spellStart"/>
      <w:r w:rsidRPr="001329D7">
        <w:rPr>
          <w:rFonts w:asciiTheme="minorHAnsi" w:hAnsiTheme="minorHAnsi"/>
          <w:b/>
          <w:sz w:val="20"/>
          <w:szCs w:val="20"/>
        </w:rPr>
        <w:t>Expat</w:t>
      </w:r>
      <w:proofErr w:type="spellEnd"/>
      <w:r w:rsidRPr="001329D7">
        <w:rPr>
          <w:rFonts w:asciiTheme="minorHAnsi" w:hAnsiTheme="minorHAnsi"/>
          <w:b/>
          <w:sz w:val="20"/>
          <w:szCs w:val="20"/>
        </w:rPr>
        <w:t xml:space="preserve"> Centra</w:t>
      </w:r>
      <w:r>
        <w:rPr>
          <w:rFonts w:asciiTheme="minorHAnsi" w:hAnsiTheme="minorHAnsi"/>
          <w:sz w:val="20"/>
          <w:szCs w:val="20"/>
        </w:rPr>
        <w:t xml:space="preserve">. </w:t>
      </w:r>
    </w:p>
    <w:p w:rsidR="001329D7" w:rsidRDefault="00625113" w:rsidP="00F45B05">
      <w:pPr>
        <w:pStyle w:val="Odstavecseseznamem"/>
        <w:spacing w:after="120"/>
        <w:ind w:left="284"/>
        <w:jc w:val="both"/>
        <w:rPr>
          <w:rFonts w:asciiTheme="minorHAnsi" w:hAnsiTheme="minorHAnsi"/>
          <w:sz w:val="20"/>
          <w:szCs w:val="20"/>
        </w:rPr>
      </w:pPr>
      <w:r>
        <w:rPr>
          <w:rFonts w:asciiTheme="minorHAnsi" w:hAnsiTheme="minorHAnsi"/>
          <w:sz w:val="20"/>
          <w:szCs w:val="20"/>
        </w:rPr>
        <w:t xml:space="preserve">V rámci strategického projektu </w:t>
      </w:r>
      <w:r w:rsidRPr="00625113">
        <w:rPr>
          <w:rFonts w:asciiTheme="minorHAnsi" w:hAnsiTheme="minorHAnsi"/>
          <w:b/>
          <w:sz w:val="20"/>
          <w:szCs w:val="20"/>
        </w:rPr>
        <w:t>Podnikavý region</w:t>
      </w:r>
      <w:r>
        <w:rPr>
          <w:rFonts w:asciiTheme="minorHAnsi" w:hAnsiTheme="minorHAnsi"/>
          <w:sz w:val="20"/>
          <w:szCs w:val="20"/>
        </w:rPr>
        <w:t xml:space="preserve"> byl nastaven systém práce s nepodpořenými firmami ze Start Up voucheru a realizovány aktivity na rozvoj </w:t>
      </w:r>
      <w:r w:rsidRPr="00625113">
        <w:rPr>
          <w:rFonts w:asciiTheme="minorHAnsi" w:hAnsiTheme="minorHAnsi"/>
          <w:b/>
          <w:sz w:val="20"/>
          <w:szCs w:val="20"/>
        </w:rPr>
        <w:t xml:space="preserve">Start Up </w:t>
      </w:r>
      <w:proofErr w:type="spellStart"/>
      <w:r w:rsidRPr="00625113">
        <w:rPr>
          <w:rFonts w:asciiTheme="minorHAnsi" w:hAnsiTheme="minorHAnsi"/>
          <w:b/>
          <w:sz w:val="20"/>
          <w:szCs w:val="20"/>
        </w:rPr>
        <w:t>Community</w:t>
      </w:r>
      <w:proofErr w:type="spellEnd"/>
      <w:r>
        <w:rPr>
          <w:rFonts w:asciiTheme="minorHAnsi" w:hAnsiTheme="minorHAnsi"/>
          <w:sz w:val="20"/>
          <w:szCs w:val="20"/>
        </w:rPr>
        <w:t xml:space="preserve">. </w:t>
      </w:r>
      <w:r w:rsidR="00E1556E">
        <w:rPr>
          <w:rFonts w:asciiTheme="minorHAnsi" w:hAnsiTheme="minorHAnsi"/>
          <w:sz w:val="20"/>
          <w:szCs w:val="20"/>
        </w:rPr>
        <w:t xml:space="preserve"> </w:t>
      </w:r>
    </w:p>
    <w:p w:rsidR="00E1556E" w:rsidRDefault="00E1556E" w:rsidP="00F45B05">
      <w:pPr>
        <w:pStyle w:val="Odstavecseseznamem"/>
        <w:spacing w:after="120"/>
        <w:ind w:left="284"/>
        <w:jc w:val="both"/>
        <w:rPr>
          <w:rFonts w:asciiTheme="minorHAnsi" w:hAnsiTheme="minorHAnsi"/>
          <w:sz w:val="20"/>
          <w:szCs w:val="20"/>
        </w:rPr>
      </w:pPr>
      <w:r>
        <w:rPr>
          <w:rFonts w:asciiTheme="minorHAnsi" w:hAnsiTheme="minorHAnsi"/>
          <w:sz w:val="20"/>
          <w:szCs w:val="20"/>
        </w:rPr>
        <w:t xml:space="preserve">Ve sledovaném období byla dokončena pilotáž soutěže pro středoškoláky </w:t>
      </w:r>
      <w:r w:rsidRPr="00E1556E">
        <w:rPr>
          <w:rFonts w:asciiTheme="minorHAnsi" w:hAnsiTheme="minorHAnsi"/>
          <w:b/>
          <w:sz w:val="20"/>
          <w:szCs w:val="20"/>
        </w:rPr>
        <w:t>„Junior Inovátor“</w:t>
      </w:r>
      <w:r>
        <w:rPr>
          <w:rFonts w:asciiTheme="minorHAnsi" w:hAnsiTheme="minorHAnsi"/>
          <w:sz w:val="20"/>
          <w:szCs w:val="20"/>
        </w:rPr>
        <w:t xml:space="preserve"> - do této soutěže se zapojilo celkem 29 studentských projektů a 6 firemních partnerů. </w:t>
      </w:r>
    </w:p>
    <w:p w:rsidR="00F45B05" w:rsidRDefault="00F45B05" w:rsidP="008070ED">
      <w:pPr>
        <w:pStyle w:val="Odstavecseseznamem"/>
        <w:ind w:left="284"/>
        <w:jc w:val="both"/>
        <w:rPr>
          <w:rFonts w:asciiTheme="minorHAnsi" w:hAnsiTheme="minorHAnsi"/>
          <w:sz w:val="20"/>
          <w:szCs w:val="20"/>
        </w:rPr>
      </w:pPr>
      <w:r>
        <w:rPr>
          <w:rFonts w:asciiTheme="minorHAnsi" w:hAnsiTheme="minorHAnsi"/>
          <w:sz w:val="20"/>
          <w:szCs w:val="20"/>
        </w:rPr>
        <w:t xml:space="preserve">V uplynulém pololetí proběhla dvě jednání Rady pro Inovace, která schválila k další přípravě několik projektových záměrů. Jejich rozpracováním byl pověřen MSIC. </w:t>
      </w:r>
    </w:p>
    <w:p w:rsidR="001329D7" w:rsidRPr="00B42567" w:rsidRDefault="001329D7" w:rsidP="008070ED">
      <w:pPr>
        <w:pStyle w:val="Odstavecseseznamem"/>
        <w:ind w:left="284"/>
        <w:jc w:val="both"/>
        <w:rPr>
          <w:rFonts w:asciiTheme="minorHAnsi" w:hAnsiTheme="minorHAnsi"/>
          <w:sz w:val="20"/>
          <w:szCs w:val="20"/>
        </w:rPr>
      </w:pPr>
    </w:p>
    <w:p w:rsidR="00B42567" w:rsidRPr="00B42567" w:rsidRDefault="00B42567" w:rsidP="00B42567">
      <w:pPr>
        <w:pStyle w:val="Odstavecseseznamem"/>
        <w:rPr>
          <w:rFonts w:asciiTheme="minorHAnsi" w:hAnsiTheme="minorHAnsi"/>
          <w:sz w:val="20"/>
          <w:szCs w:val="20"/>
        </w:rPr>
      </w:pPr>
    </w:p>
    <w:p w:rsidR="00360033" w:rsidRPr="00360033" w:rsidRDefault="00360033" w:rsidP="00E107BC">
      <w:pPr>
        <w:ind w:left="284"/>
        <w:jc w:val="both"/>
        <w:rPr>
          <w:rFonts w:asciiTheme="minorHAnsi" w:hAnsiTheme="minorHAnsi"/>
          <w:b/>
          <w:sz w:val="22"/>
          <w:szCs w:val="22"/>
        </w:rPr>
      </w:pPr>
      <w:r w:rsidRPr="00360033">
        <w:rPr>
          <w:rFonts w:asciiTheme="minorHAnsi" w:hAnsiTheme="minorHAnsi"/>
          <w:b/>
          <w:sz w:val="22"/>
          <w:szCs w:val="22"/>
        </w:rPr>
        <w:t xml:space="preserve">Investiční a udržovací akce v areálu MSIC </w:t>
      </w:r>
    </w:p>
    <w:p w:rsidR="00360033" w:rsidRDefault="00360033" w:rsidP="00E107BC">
      <w:pPr>
        <w:ind w:left="284"/>
        <w:jc w:val="both"/>
        <w:rPr>
          <w:rFonts w:asciiTheme="minorHAnsi" w:hAnsiTheme="minorHAnsi"/>
          <w:sz w:val="20"/>
          <w:szCs w:val="20"/>
        </w:rPr>
      </w:pPr>
    </w:p>
    <w:p w:rsidR="00B42567" w:rsidRDefault="001615CD" w:rsidP="00E107BC">
      <w:pPr>
        <w:ind w:left="284"/>
        <w:jc w:val="both"/>
        <w:rPr>
          <w:rFonts w:asciiTheme="minorHAnsi" w:hAnsiTheme="minorHAnsi"/>
          <w:sz w:val="20"/>
          <w:szCs w:val="20"/>
        </w:rPr>
      </w:pPr>
      <w:r>
        <w:rPr>
          <w:rFonts w:asciiTheme="minorHAnsi" w:hAnsiTheme="minorHAnsi"/>
          <w:sz w:val="20"/>
          <w:szCs w:val="20"/>
        </w:rPr>
        <w:t xml:space="preserve">Na základě požadavků MSIC zařazených do rozpočtu SMO pro r. 2019 zahájilo město jako vlastník multifunkčních budov </w:t>
      </w:r>
      <w:r w:rsidR="00DC5028">
        <w:rPr>
          <w:rFonts w:asciiTheme="minorHAnsi" w:hAnsiTheme="minorHAnsi"/>
          <w:sz w:val="20"/>
          <w:szCs w:val="20"/>
        </w:rPr>
        <w:t xml:space="preserve">přípravné práce a </w:t>
      </w:r>
      <w:r>
        <w:rPr>
          <w:rFonts w:asciiTheme="minorHAnsi" w:hAnsiTheme="minorHAnsi"/>
          <w:sz w:val="20"/>
          <w:szCs w:val="20"/>
        </w:rPr>
        <w:t xml:space="preserve">výběrová řízení na </w:t>
      </w:r>
      <w:r w:rsidRPr="00DC5028">
        <w:rPr>
          <w:rFonts w:asciiTheme="minorHAnsi" w:hAnsiTheme="minorHAnsi"/>
          <w:b/>
          <w:sz w:val="20"/>
          <w:szCs w:val="20"/>
        </w:rPr>
        <w:t>akce udržovacího charakteru</w:t>
      </w:r>
      <w:r w:rsidR="0083265B">
        <w:rPr>
          <w:rFonts w:asciiTheme="minorHAnsi" w:hAnsiTheme="minorHAnsi"/>
          <w:b/>
          <w:sz w:val="20"/>
          <w:szCs w:val="20"/>
        </w:rPr>
        <w:t>,</w:t>
      </w:r>
      <w:r>
        <w:rPr>
          <w:rFonts w:asciiTheme="minorHAnsi" w:hAnsiTheme="minorHAnsi"/>
          <w:sz w:val="20"/>
          <w:szCs w:val="20"/>
        </w:rPr>
        <w:t xml:space="preserve"> především ve starších budovách Piano a Tandem, kde postupně dochází k</w:t>
      </w:r>
      <w:r w:rsidR="007B11AD">
        <w:rPr>
          <w:rFonts w:asciiTheme="minorHAnsi" w:hAnsiTheme="minorHAnsi"/>
          <w:sz w:val="20"/>
          <w:szCs w:val="20"/>
        </w:rPr>
        <w:t xml:space="preserve"> fyzickému a </w:t>
      </w:r>
      <w:r>
        <w:rPr>
          <w:rFonts w:asciiTheme="minorHAnsi" w:hAnsiTheme="minorHAnsi"/>
          <w:sz w:val="20"/>
          <w:szCs w:val="20"/>
        </w:rPr>
        <w:t xml:space="preserve">morálnímu zastarávání použitého vybavení i technologie. </w:t>
      </w:r>
      <w:r w:rsidR="00B71940">
        <w:rPr>
          <w:rFonts w:asciiTheme="minorHAnsi" w:hAnsiTheme="minorHAnsi"/>
          <w:sz w:val="20"/>
          <w:szCs w:val="20"/>
        </w:rPr>
        <w:t>Budova Tandem byla uzpůsobena na míru společnosti T</w:t>
      </w:r>
      <w:r w:rsidR="007B11AD">
        <w:rPr>
          <w:rFonts w:asciiTheme="minorHAnsi" w:hAnsiTheme="minorHAnsi"/>
          <w:sz w:val="20"/>
          <w:szCs w:val="20"/>
        </w:rPr>
        <w:t>IETO</w:t>
      </w:r>
      <w:r w:rsidR="00B71940">
        <w:rPr>
          <w:rFonts w:asciiTheme="minorHAnsi" w:hAnsiTheme="minorHAnsi"/>
          <w:sz w:val="20"/>
          <w:szCs w:val="20"/>
        </w:rPr>
        <w:t xml:space="preserve">, po jejímž odchodu bylo potřeba provést zásadní modernizaci prostor. </w:t>
      </w:r>
      <w:r w:rsidR="00DC5028">
        <w:rPr>
          <w:rFonts w:asciiTheme="minorHAnsi" w:hAnsiTheme="minorHAnsi"/>
          <w:sz w:val="20"/>
          <w:szCs w:val="20"/>
        </w:rPr>
        <w:br/>
      </w:r>
      <w:r w:rsidR="00B71940">
        <w:rPr>
          <w:rFonts w:asciiTheme="minorHAnsi" w:hAnsiTheme="minorHAnsi"/>
          <w:sz w:val="20"/>
          <w:szCs w:val="20"/>
        </w:rPr>
        <w:t>V</w:t>
      </w:r>
      <w:r w:rsidR="00DC5028">
        <w:rPr>
          <w:rFonts w:asciiTheme="minorHAnsi" w:hAnsiTheme="minorHAnsi"/>
          <w:sz w:val="20"/>
          <w:szCs w:val="20"/>
        </w:rPr>
        <w:t>e</w:t>
      </w:r>
      <w:r w:rsidR="00B71940">
        <w:rPr>
          <w:rFonts w:asciiTheme="minorHAnsi" w:hAnsiTheme="minorHAnsi"/>
          <w:sz w:val="20"/>
          <w:szCs w:val="20"/>
        </w:rPr>
        <w:t xml:space="preserve"> II. pololetí r. 2019 je plánována výmalba a výměna koberců v hodnotě </w:t>
      </w:r>
      <w:r w:rsidR="00DC5028">
        <w:rPr>
          <w:rFonts w:asciiTheme="minorHAnsi" w:hAnsiTheme="minorHAnsi"/>
          <w:sz w:val="20"/>
          <w:szCs w:val="20"/>
        </w:rPr>
        <w:t xml:space="preserve">cca </w:t>
      </w:r>
      <w:r w:rsidR="007B11AD">
        <w:rPr>
          <w:rFonts w:asciiTheme="minorHAnsi" w:hAnsiTheme="minorHAnsi"/>
          <w:sz w:val="20"/>
          <w:szCs w:val="20"/>
        </w:rPr>
        <w:t>0</w:t>
      </w:r>
      <w:r w:rsidR="00DC5028">
        <w:rPr>
          <w:rFonts w:asciiTheme="minorHAnsi" w:hAnsiTheme="minorHAnsi"/>
          <w:sz w:val="20"/>
          <w:szCs w:val="20"/>
        </w:rPr>
        <w:t xml:space="preserve">,7 mil. Kč, dále vybudování zázemí v podobě kuchyňky ve 3. NP či instalace měřáků elektrické energie v hodnotě cca 1 mil. Kč. V budově Piano </w:t>
      </w:r>
      <w:r w:rsidR="007B11AD">
        <w:rPr>
          <w:rFonts w:asciiTheme="minorHAnsi" w:hAnsiTheme="minorHAnsi"/>
          <w:sz w:val="20"/>
          <w:szCs w:val="20"/>
        </w:rPr>
        <w:t>došlo v I. pololetí r. 2019 k</w:t>
      </w:r>
      <w:r w:rsidR="00094ADC">
        <w:rPr>
          <w:rFonts w:asciiTheme="minorHAnsi" w:hAnsiTheme="minorHAnsi"/>
          <w:sz w:val="20"/>
          <w:szCs w:val="20"/>
        </w:rPr>
        <w:t> částečné obnově</w:t>
      </w:r>
      <w:r w:rsidR="007B11AD">
        <w:rPr>
          <w:rFonts w:asciiTheme="minorHAnsi" w:hAnsiTheme="minorHAnsi"/>
          <w:sz w:val="20"/>
          <w:szCs w:val="20"/>
        </w:rPr>
        <w:t xml:space="preserve"> vybavení restaurace a </w:t>
      </w:r>
      <w:r w:rsidR="00DC5028">
        <w:rPr>
          <w:rFonts w:asciiTheme="minorHAnsi" w:hAnsiTheme="minorHAnsi"/>
          <w:sz w:val="20"/>
          <w:szCs w:val="20"/>
        </w:rPr>
        <w:t>je připravována renovace kuchyněk. Celkově je počítáno pro r.</w:t>
      </w:r>
      <w:r w:rsidR="004E0525">
        <w:rPr>
          <w:rFonts w:asciiTheme="minorHAnsi" w:hAnsiTheme="minorHAnsi"/>
          <w:sz w:val="20"/>
          <w:szCs w:val="20"/>
        </w:rPr>
        <w:t xml:space="preserve"> 2019 s částkou přes 8 mil. Kč (zajišťuje odbor hospodářské správy města). </w:t>
      </w:r>
    </w:p>
    <w:p w:rsidR="004E0525" w:rsidRDefault="004E0525" w:rsidP="00E107BC">
      <w:pPr>
        <w:ind w:left="284"/>
        <w:jc w:val="both"/>
        <w:rPr>
          <w:rFonts w:asciiTheme="minorHAnsi" w:hAnsiTheme="minorHAnsi"/>
          <w:sz w:val="20"/>
          <w:szCs w:val="20"/>
        </w:rPr>
      </w:pPr>
    </w:p>
    <w:p w:rsidR="00442CA9" w:rsidRDefault="00442CA9" w:rsidP="00D6729E">
      <w:pPr>
        <w:ind w:left="284"/>
        <w:jc w:val="both"/>
        <w:rPr>
          <w:rFonts w:asciiTheme="minorHAnsi" w:hAnsiTheme="minorHAnsi"/>
          <w:sz w:val="20"/>
          <w:szCs w:val="20"/>
        </w:rPr>
      </w:pPr>
      <w:r>
        <w:rPr>
          <w:rFonts w:asciiTheme="minorHAnsi" w:hAnsiTheme="minorHAnsi"/>
          <w:sz w:val="20"/>
          <w:szCs w:val="20"/>
        </w:rPr>
        <w:t>K finančně významným akcím určeným k zařazení do kapitálového rozpočtu pro r. 2020, jejichž příprava byla</w:t>
      </w:r>
      <w:r w:rsidR="00ED7980">
        <w:rPr>
          <w:rFonts w:asciiTheme="minorHAnsi" w:hAnsiTheme="minorHAnsi"/>
          <w:sz w:val="20"/>
          <w:szCs w:val="20"/>
        </w:rPr>
        <w:t xml:space="preserve"> či bude </w:t>
      </w:r>
      <w:r>
        <w:rPr>
          <w:rFonts w:asciiTheme="minorHAnsi" w:hAnsiTheme="minorHAnsi"/>
          <w:sz w:val="20"/>
          <w:szCs w:val="20"/>
        </w:rPr>
        <w:t xml:space="preserve">zahájena v letošním roce, patří </w:t>
      </w:r>
      <w:r w:rsidR="004E0525">
        <w:rPr>
          <w:rFonts w:asciiTheme="minorHAnsi" w:hAnsiTheme="minorHAnsi"/>
          <w:sz w:val="20"/>
          <w:szCs w:val="20"/>
        </w:rPr>
        <w:t>výměna</w:t>
      </w:r>
      <w:r>
        <w:rPr>
          <w:rFonts w:asciiTheme="minorHAnsi" w:hAnsiTheme="minorHAnsi"/>
          <w:sz w:val="20"/>
          <w:szCs w:val="20"/>
        </w:rPr>
        <w:t xml:space="preserve"> pláště střechy a </w:t>
      </w:r>
      <w:r w:rsidR="00D6729E">
        <w:rPr>
          <w:rFonts w:asciiTheme="minorHAnsi" w:hAnsiTheme="minorHAnsi"/>
          <w:sz w:val="20"/>
          <w:szCs w:val="20"/>
        </w:rPr>
        <w:t>instalace záchytného systému</w:t>
      </w:r>
      <w:r>
        <w:rPr>
          <w:rFonts w:asciiTheme="minorHAnsi" w:hAnsiTheme="minorHAnsi"/>
          <w:sz w:val="20"/>
          <w:szCs w:val="20"/>
        </w:rPr>
        <w:t xml:space="preserve"> na budově Piano, renovace klimatizace v</w:t>
      </w:r>
      <w:r w:rsidR="00D6729E">
        <w:rPr>
          <w:rFonts w:asciiTheme="minorHAnsi" w:hAnsiTheme="minorHAnsi"/>
          <w:sz w:val="20"/>
          <w:szCs w:val="20"/>
        </w:rPr>
        <w:t xml:space="preserve"> 1. NP </w:t>
      </w:r>
      <w:r>
        <w:rPr>
          <w:rFonts w:asciiTheme="minorHAnsi" w:hAnsiTheme="minorHAnsi"/>
          <w:sz w:val="20"/>
          <w:szCs w:val="20"/>
        </w:rPr>
        <w:t>budov</w:t>
      </w:r>
      <w:r w:rsidR="00D6729E">
        <w:rPr>
          <w:rFonts w:asciiTheme="minorHAnsi" w:hAnsiTheme="minorHAnsi"/>
          <w:sz w:val="20"/>
          <w:szCs w:val="20"/>
        </w:rPr>
        <w:t>y</w:t>
      </w:r>
      <w:r>
        <w:rPr>
          <w:rFonts w:asciiTheme="minorHAnsi" w:hAnsiTheme="minorHAnsi"/>
          <w:sz w:val="20"/>
          <w:szCs w:val="20"/>
        </w:rPr>
        <w:t xml:space="preserve"> Piano a komple</w:t>
      </w:r>
      <w:r w:rsidR="00D6729E">
        <w:rPr>
          <w:rFonts w:asciiTheme="minorHAnsi" w:hAnsiTheme="minorHAnsi"/>
          <w:sz w:val="20"/>
          <w:szCs w:val="20"/>
        </w:rPr>
        <w:t>t</w:t>
      </w:r>
      <w:r>
        <w:rPr>
          <w:rFonts w:asciiTheme="minorHAnsi" w:hAnsiTheme="minorHAnsi"/>
          <w:sz w:val="20"/>
          <w:szCs w:val="20"/>
        </w:rPr>
        <w:t xml:space="preserve">ní repase konektivity v budovách </w:t>
      </w:r>
      <w:r w:rsidR="00D6729E">
        <w:rPr>
          <w:rFonts w:asciiTheme="minorHAnsi" w:hAnsiTheme="minorHAnsi"/>
          <w:sz w:val="20"/>
          <w:szCs w:val="20"/>
        </w:rPr>
        <w:t>Piano a Tandem</w:t>
      </w:r>
      <w:r>
        <w:rPr>
          <w:rFonts w:asciiTheme="minorHAnsi" w:hAnsiTheme="minorHAnsi"/>
          <w:sz w:val="20"/>
          <w:szCs w:val="20"/>
        </w:rPr>
        <w:t xml:space="preserve">. </w:t>
      </w:r>
    </w:p>
    <w:p w:rsidR="004054F0" w:rsidRDefault="004054F0" w:rsidP="00D6729E">
      <w:pPr>
        <w:ind w:left="284"/>
        <w:jc w:val="both"/>
        <w:rPr>
          <w:rFonts w:asciiTheme="minorHAnsi" w:hAnsiTheme="minorHAnsi"/>
          <w:sz w:val="20"/>
          <w:szCs w:val="20"/>
        </w:rPr>
      </w:pPr>
      <w:r>
        <w:rPr>
          <w:rFonts w:asciiTheme="minorHAnsi" w:hAnsiTheme="minorHAnsi"/>
          <w:sz w:val="20"/>
          <w:szCs w:val="20"/>
        </w:rPr>
        <w:t xml:space="preserve">Dále společnost MSIC nárokovala na r. 2020 finanční prostředky na cca 26 dalších akcí v celkovém finančním objemu 25,5 mil. Kč. Zahájení přípravy a realizace investičních akcí se odvine od výstupů jednání se společností MARPO s. r. o. provádějící monitoring statiky budov v průběhu října 2019. </w:t>
      </w:r>
    </w:p>
    <w:p w:rsidR="004054F0" w:rsidRDefault="004054F0" w:rsidP="00D6729E">
      <w:pPr>
        <w:ind w:left="284"/>
        <w:jc w:val="both"/>
        <w:rPr>
          <w:rFonts w:asciiTheme="minorHAnsi" w:hAnsiTheme="minorHAnsi"/>
          <w:sz w:val="20"/>
          <w:szCs w:val="20"/>
        </w:rPr>
      </w:pPr>
    </w:p>
    <w:p w:rsidR="001615CD" w:rsidRDefault="001615CD" w:rsidP="00E107BC">
      <w:pPr>
        <w:ind w:left="284"/>
        <w:jc w:val="both"/>
        <w:rPr>
          <w:rFonts w:asciiTheme="minorHAnsi" w:hAnsiTheme="minorHAnsi"/>
          <w:sz w:val="20"/>
          <w:szCs w:val="20"/>
        </w:rPr>
      </w:pPr>
    </w:p>
    <w:sectPr w:rsidR="001615CD" w:rsidSect="00345E13">
      <w:footerReference w:type="even" r:id="rId8"/>
      <w:footerReference w:type="default" r:id="rId9"/>
      <w:pgSz w:w="11906" w:h="16838"/>
      <w:pgMar w:top="1134" w:right="1134" w:bottom="1134" w:left="1134" w:header="709" w:footer="1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028" w:rsidRDefault="00DC5028">
      <w:r>
        <w:separator/>
      </w:r>
    </w:p>
  </w:endnote>
  <w:endnote w:type="continuationSeparator" w:id="0">
    <w:p w:rsidR="00DC5028" w:rsidRDefault="00DC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Open Sans">
    <w:altName w:val="Tahoma"/>
    <w:charset w:val="EE"/>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28" w:rsidRDefault="00DC50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C5028" w:rsidRDefault="00DC502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01621"/>
      <w:docPartObj>
        <w:docPartGallery w:val="Page Numbers (Bottom of Page)"/>
        <w:docPartUnique/>
      </w:docPartObj>
    </w:sdtPr>
    <w:sdtEndPr/>
    <w:sdtContent>
      <w:p w:rsidR="00DC5028" w:rsidRDefault="00DC5028">
        <w:pPr>
          <w:pStyle w:val="Zpat"/>
          <w:jc w:val="right"/>
        </w:pPr>
        <w:r w:rsidRPr="00207613">
          <w:rPr>
            <w:sz w:val="20"/>
            <w:szCs w:val="20"/>
          </w:rPr>
          <w:fldChar w:fldCharType="begin"/>
        </w:r>
        <w:r w:rsidRPr="00207613">
          <w:rPr>
            <w:sz w:val="20"/>
            <w:szCs w:val="20"/>
          </w:rPr>
          <w:instrText>PAGE   \* MERGEFORMAT</w:instrText>
        </w:r>
        <w:r w:rsidRPr="00207613">
          <w:rPr>
            <w:sz w:val="20"/>
            <w:szCs w:val="20"/>
          </w:rPr>
          <w:fldChar w:fldCharType="separate"/>
        </w:r>
        <w:r w:rsidR="004054F0">
          <w:rPr>
            <w:noProof/>
            <w:sz w:val="20"/>
            <w:szCs w:val="20"/>
          </w:rPr>
          <w:t>6</w:t>
        </w:r>
        <w:r w:rsidRPr="00207613">
          <w:rPr>
            <w:sz w:val="20"/>
            <w:szCs w:val="20"/>
          </w:rPr>
          <w:fldChar w:fldCharType="end"/>
        </w:r>
      </w:p>
    </w:sdtContent>
  </w:sdt>
  <w:p w:rsidR="00DC5028" w:rsidRDefault="00DC502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028" w:rsidRDefault="00DC5028">
      <w:r>
        <w:separator/>
      </w:r>
    </w:p>
  </w:footnote>
  <w:footnote w:type="continuationSeparator" w:id="0">
    <w:p w:rsidR="00DC5028" w:rsidRDefault="00DC5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565A"/>
    <w:multiLevelType w:val="hybridMultilevel"/>
    <w:tmpl w:val="E2BCD144"/>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5C2EF4"/>
    <w:multiLevelType w:val="hybridMultilevel"/>
    <w:tmpl w:val="F146AC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A92F66"/>
    <w:multiLevelType w:val="hybridMultilevel"/>
    <w:tmpl w:val="CDD86D7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4507554"/>
    <w:multiLevelType w:val="hybridMultilevel"/>
    <w:tmpl w:val="C67C0BC6"/>
    <w:lvl w:ilvl="0" w:tplc="EAF2F8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DC6EDA"/>
    <w:multiLevelType w:val="hybridMultilevel"/>
    <w:tmpl w:val="0FE64BC4"/>
    <w:lvl w:ilvl="0" w:tplc="1CDCA9A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F647295"/>
    <w:multiLevelType w:val="hybridMultilevel"/>
    <w:tmpl w:val="0E6ED38A"/>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9211F75"/>
    <w:multiLevelType w:val="hybridMultilevel"/>
    <w:tmpl w:val="19CE51C8"/>
    <w:lvl w:ilvl="0" w:tplc="BE3ECA96">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2B423549"/>
    <w:multiLevelType w:val="hybridMultilevel"/>
    <w:tmpl w:val="041AC98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2C5A233B"/>
    <w:multiLevelType w:val="hybridMultilevel"/>
    <w:tmpl w:val="796ED916"/>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DC21AAD"/>
    <w:multiLevelType w:val="hybridMultilevel"/>
    <w:tmpl w:val="FC20DC9E"/>
    <w:lvl w:ilvl="0" w:tplc="7264DEFC">
      <w:start w:val="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DFC5910"/>
    <w:multiLevelType w:val="hybridMultilevel"/>
    <w:tmpl w:val="E1C2728C"/>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4294785"/>
    <w:multiLevelType w:val="hybridMultilevel"/>
    <w:tmpl w:val="EB4080E6"/>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60E7370"/>
    <w:multiLevelType w:val="hybridMultilevel"/>
    <w:tmpl w:val="A6467588"/>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23512"/>
    <w:multiLevelType w:val="hybridMultilevel"/>
    <w:tmpl w:val="87ECD9CC"/>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BD752D"/>
    <w:multiLevelType w:val="hybridMultilevel"/>
    <w:tmpl w:val="3D52BC18"/>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ED5BF2"/>
    <w:multiLevelType w:val="hybridMultilevel"/>
    <w:tmpl w:val="57802352"/>
    <w:lvl w:ilvl="0" w:tplc="4D508ABC">
      <w:start w:val="1"/>
      <w:numFmt w:val="lowerLetter"/>
      <w:lvlText w:val="%1)"/>
      <w:lvlJc w:val="left"/>
      <w:pPr>
        <w:ind w:left="720" w:hanging="360"/>
      </w:pPr>
      <w:rPr>
        <w:rFonts w:asciiTheme="minorHAnsi" w:eastAsiaTheme="minorHAnsi"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B01369A"/>
    <w:multiLevelType w:val="hybridMultilevel"/>
    <w:tmpl w:val="E9727C04"/>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03B1C3B"/>
    <w:multiLevelType w:val="hybridMultilevel"/>
    <w:tmpl w:val="999C9E5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521C303A"/>
    <w:multiLevelType w:val="hybridMultilevel"/>
    <w:tmpl w:val="25F47DFA"/>
    <w:lvl w:ilvl="0" w:tplc="2FE23CD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6135A9E"/>
    <w:multiLevelType w:val="hybridMultilevel"/>
    <w:tmpl w:val="F5EE7498"/>
    <w:lvl w:ilvl="0" w:tplc="5EAC490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0A4BB6"/>
    <w:multiLevelType w:val="hybridMultilevel"/>
    <w:tmpl w:val="8066718A"/>
    <w:lvl w:ilvl="0" w:tplc="7264DEFC">
      <w:start w:val="5"/>
      <w:numFmt w:val="bullet"/>
      <w:lvlText w:val="-"/>
      <w:lvlJc w:val="left"/>
      <w:pPr>
        <w:ind w:left="1440" w:hanging="360"/>
      </w:pPr>
      <w:rPr>
        <w:rFonts w:ascii="Calibri" w:eastAsiaTheme="minorHAns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5B4F2F6B"/>
    <w:multiLevelType w:val="hybridMultilevel"/>
    <w:tmpl w:val="C504E1E0"/>
    <w:lvl w:ilvl="0" w:tplc="04050005">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8F3FC2"/>
    <w:multiLevelType w:val="hybridMultilevel"/>
    <w:tmpl w:val="6DE8C0BC"/>
    <w:lvl w:ilvl="0" w:tplc="4D508ABC">
      <w:start w:val="1"/>
      <w:numFmt w:val="lowerLetter"/>
      <w:lvlText w:val="%1)"/>
      <w:lvlJc w:val="left"/>
      <w:pPr>
        <w:ind w:left="720" w:hanging="360"/>
      </w:pPr>
      <w:rPr>
        <w:rFonts w:asciiTheme="minorHAnsi" w:eastAsiaTheme="minorHAnsi" w:hAnsiTheme="minorHAnsi" w:cstheme="minorBidi"/>
      </w:rPr>
    </w:lvl>
    <w:lvl w:ilvl="1" w:tplc="7264DEFC">
      <w:start w:val="5"/>
      <w:numFmt w:val="bullet"/>
      <w:lvlText w:val="-"/>
      <w:lvlJc w:val="left"/>
      <w:pPr>
        <w:ind w:left="1440" w:hanging="360"/>
      </w:pPr>
      <w:rPr>
        <w:rFonts w:ascii="Calibri" w:eastAsiaTheme="minorHAns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C3C026C"/>
    <w:multiLevelType w:val="hybridMultilevel"/>
    <w:tmpl w:val="1070E1DE"/>
    <w:lvl w:ilvl="0" w:tplc="51B87B38">
      <w:start w:val="4"/>
      <w:numFmt w:val="bullet"/>
      <w:lvlText w:val="-"/>
      <w:lvlJc w:val="left"/>
      <w:pPr>
        <w:ind w:left="720" w:hanging="360"/>
      </w:pPr>
      <w:rPr>
        <w:rFonts w:ascii="Times New Roman" w:eastAsia="Times New Roman" w:hAnsi="Times New Roman"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184699"/>
    <w:multiLevelType w:val="hybridMultilevel"/>
    <w:tmpl w:val="50041B78"/>
    <w:lvl w:ilvl="0" w:tplc="51B87B38">
      <w:start w:val="4"/>
      <w:numFmt w:val="bullet"/>
      <w:lvlText w:val="-"/>
      <w:lvlJc w:val="left"/>
      <w:pPr>
        <w:ind w:left="1080" w:hanging="360"/>
      </w:pPr>
      <w:rPr>
        <w:rFonts w:ascii="Times New Roman" w:eastAsia="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6AF6835"/>
    <w:multiLevelType w:val="hybridMultilevel"/>
    <w:tmpl w:val="6BFC046E"/>
    <w:lvl w:ilvl="0" w:tplc="51B87B38">
      <w:start w:val="4"/>
      <w:numFmt w:val="bullet"/>
      <w:lvlText w:val="-"/>
      <w:lvlJc w:val="left"/>
      <w:pPr>
        <w:ind w:left="1004" w:hanging="360"/>
      </w:pPr>
      <w:rPr>
        <w:rFonts w:ascii="Times New Roman" w:eastAsia="Times New Roman" w:hAnsi="Times New Roman" w:cs="Times New Roman"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
  </w:num>
  <w:num w:numId="2">
    <w:abstractNumId w:val="25"/>
  </w:num>
  <w:num w:numId="3">
    <w:abstractNumId w:val="12"/>
  </w:num>
  <w:num w:numId="4">
    <w:abstractNumId w:val="0"/>
  </w:num>
  <w:num w:numId="5">
    <w:abstractNumId w:val="23"/>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9"/>
  </w:num>
  <w:num w:numId="13">
    <w:abstractNumId w:val="2"/>
  </w:num>
  <w:num w:numId="14">
    <w:abstractNumId w:val="8"/>
  </w:num>
  <w:num w:numId="15">
    <w:abstractNumId w:val="19"/>
  </w:num>
  <w:num w:numId="16">
    <w:abstractNumId w:val="11"/>
  </w:num>
  <w:num w:numId="17">
    <w:abstractNumId w:val="10"/>
  </w:num>
  <w:num w:numId="18">
    <w:abstractNumId w:val="24"/>
  </w:num>
  <w:num w:numId="19">
    <w:abstractNumId w:val="13"/>
  </w:num>
  <w:num w:numId="20">
    <w:abstractNumId w:val="16"/>
  </w:num>
  <w:num w:numId="21">
    <w:abstractNumId w:val="6"/>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7"/>
  </w:num>
  <w:num w:numId="26">
    <w:abstractNumId w:val="7"/>
  </w:num>
  <w:num w:numId="27">
    <w:abstractNumId w:val="21"/>
  </w:num>
  <w:num w:numId="28">
    <w:abstractNumId w:val="1"/>
  </w:num>
  <w:num w:numId="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E0E"/>
    <w:rsid w:val="0000112B"/>
    <w:rsid w:val="000017CA"/>
    <w:rsid w:val="00003524"/>
    <w:rsid w:val="00003741"/>
    <w:rsid w:val="0000379C"/>
    <w:rsid w:val="0000470C"/>
    <w:rsid w:val="00004DAF"/>
    <w:rsid w:val="00006AC6"/>
    <w:rsid w:val="00006EB7"/>
    <w:rsid w:val="0000785B"/>
    <w:rsid w:val="00011114"/>
    <w:rsid w:val="000122DF"/>
    <w:rsid w:val="000129AC"/>
    <w:rsid w:val="000171BF"/>
    <w:rsid w:val="000177A2"/>
    <w:rsid w:val="00022566"/>
    <w:rsid w:val="00022B43"/>
    <w:rsid w:val="000239B1"/>
    <w:rsid w:val="00026396"/>
    <w:rsid w:val="0003022B"/>
    <w:rsid w:val="00031C6D"/>
    <w:rsid w:val="0003202E"/>
    <w:rsid w:val="000320C0"/>
    <w:rsid w:val="00034187"/>
    <w:rsid w:val="00034349"/>
    <w:rsid w:val="00036ABE"/>
    <w:rsid w:val="0004189D"/>
    <w:rsid w:val="00041AE8"/>
    <w:rsid w:val="00044AA8"/>
    <w:rsid w:val="00046894"/>
    <w:rsid w:val="000514CA"/>
    <w:rsid w:val="00052A6D"/>
    <w:rsid w:val="000542E7"/>
    <w:rsid w:val="00055BDB"/>
    <w:rsid w:val="00057C02"/>
    <w:rsid w:val="0006161E"/>
    <w:rsid w:val="0006253B"/>
    <w:rsid w:val="00064113"/>
    <w:rsid w:val="000644D3"/>
    <w:rsid w:val="00064CBB"/>
    <w:rsid w:val="000651CD"/>
    <w:rsid w:val="000664D5"/>
    <w:rsid w:val="00066BDA"/>
    <w:rsid w:val="00066F3F"/>
    <w:rsid w:val="00067B7D"/>
    <w:rsid w:val="00074263"/>
    <w:rsid w:val="0007525A"/>
    <w:rsid w:val="000759AE"/>
    <w:rsid w:val="0007605E"/>
    <w:rsid w:val="0007701F"/>
    <w:rsid w:val="00077392"/>
    <w:rsid w:val="00077B0A"/>
    <w:rsid w:val="00077EA9"/>
    <w:rsid w:val="0008091C"/>
    <w:rsid w:val="00080B66"/>
    <w:rsid w:val="000818EF"/>
    <w:rsid w:val="000826A2"/>
    <w:rsid w:val="00086454"/>
    <w:rsid w:val="0008666F"/>
    <w:rsid w:val="00086D00"/>
    <w:rsid w:val="000871BC"/>
    <w:rsid w:val="000876FB"/>
    <w:rsid w:val="00090E6E"/>
    <w:rsid w:val="000917A9"/>
    <w:rsid w:val="0009187F"/>
    <w:rsid w:val="000939F0"/>
    <w:rsid w:val="00094ADC"/>
    <w:rsid w:val="00094B08"/>
    <w:rsid w:val="000957C0"/>
    <w:rsid w:val="00095834"/>
    <w:rsid w:val="00095ABF"/>
    <w:rsid w:val="000963A0"/>
    <w:rsid w:val="00097149"/>
    <w:rsid w:val="000978C0"/>
    <w:rsid w:val="000A04C8"/>
    <w:rsid w:val="000A4C9F"/>
    <w:rsid w:val="000A5289"/>
    <w:rsid w:val="000A53F7"/>
    <w:rsid w:val="000A55EC"/>
    <w:rsid w:val="000A5C7B"/>
    <w:rsid w:val="000A5FD9"/>
    <w:rsid w:val="000A65E9"/>
    <w:rsid w:val="000A7B43"/>
    <w:rsid w:val="000A7F1B"/>
    <w:rsid w:val="000A7F78"/>
    <w:rsid w:val="000B062F"/>
    <w:rsid w:val="000B34EA"/>
    <w:rsid w:val="000B3FA8"/>
    <w:rsid w:val="000B5DA1"/>
    <w:rsid w:val="000B6845"/>
    <w:rsid w:val="000B75D4"/>
    <w:rsid w:val="000B787C"/>
    <w:rsid w:val="000C0BC3"/>
    <w:rsid w:val="000C20D6"/>
    <w:rsid w:val="000C2737"/>
    <w:rsid w:val="000C37D9"/>
    <w:rsid w:val="000C5B0C"/>
    <w:rsid w:val="000C6121"/>
    <w:rsid w:val="000C66AE"/>
    <w:rsid w:val="000C7883"/>
    <w:rsid w:val="000C7A0A"/>
    <w:rsid w:val="000D1C2E"/>
    <w:rsid w:val="000D1C76"/>
    <w:rsid w:val="000D21F2"/>
    <w:rsid w:val="000D2F04"/>
    <w:rsid w:val="000D51FC"/>
    <w:rsid w:val="000D54DD"/>
    <w:rsid w:val="000D596F"/>
    <w:rsid w:val="000D5A57"/>
    <w:rsid w:val="000D5E55"/>
    <w:rsid w:val="000D63DD"/>
    <w:rsid w:val="000D74BC"/>
    <w:rsid w:val="000E12BA"/>
    <w:rsid w:val="000E2EE3"/>
    <w:rsid w:val="000E2FAA"/>
    <w:rsid w:val="000E4BD7"/>
    <w:rsid w:val="000E527E"/>
    <w:rsid w:val="000E7185"/>
    <w:rsid w:val="000E7C3D"/>
    <w:rsid w:val="000F0CB0"/>
    <w:rsid w:val="000F119F"/>
    <w:rsid w:val="000F13F2"/>
    <w:rsid w:val="000F15F7"/>
    <w:rsid w:val="000F1D4A"/>
    <w:rsid w:val="000F22DF"/>
    <w:rsid w:val="000F2835"/>
    <w:rsid w:val="000F2A8B"/>
    <w:rsid w:val="000F2D71"/>
    <w:rsid w:val="000F2E87"/>
    <w:rsid w:val="000F59D1"/>
    <w:rsid w:val="000F5E5D"/>
    <w:rsid w:val="0010013A"/>
    <w:rsid w:val="00100547"/>
    <w:rsid w:val="00101774"/>
    <w:rsid w:val="0010387C"/>
    <w:rsid w:val="001048F9"/>
    <w:rsid w:val="001060C8"/>
    <w:rsid w:val="0011090E"/>
    <w:rsid w:val="00111EAF"/>
    <w:rsid w:val="00114351"/>
    <w:rsid w:val="00116830"/>
    <w:rsid w:val="0011704B"/>
    <w:rsid w:val="00117F47"/>
    <w:rsid w:val="001202FF"/>
    <w:rsid w:val="00122B87"/>
    <w:rsid w:val="00123C84"/>
    <w:rsid w:val="00123DAB"/>
    <w:rsid w:val="00124CA4"/>
    <w:rsid w:val="00126E0E"/>
    <w:rsid w:val="0012747F"/>
    <w:rsid w:val="00127E6F"/>
    <w:rsid w:val="00130502"/>
    <w:rsid w:val="00132351"/>
    <w:rsid w:val="001329D7"/>
    <w:rsid w:val="001329EB"/>
    <w:rsid w:val="00132A9B"/>
    <w:rsid w:val="00134306"/>
    <w:rsid w:val="001347AE"/>
    <w:rsid w:val="00135C64"/>
    <w:rsid w:val="0013634A"/>
    <w:rsid w:val="00136378"/>
    <w:rsid w:val="00136387"/>
    <w:rsid w:val="00136897"/>
    <w:rsid w:val="0014051A"/>
    <w:rsid w:val="00141085"/>
    <w:rsid w:val="001428F7"/>
    <w:rsid w:val="00144AE1"/>
    <w:rsid w:val="00145360"/>
    <w:rsid w:val="00145B87"/>
    <w:rsid w:val="00146F81"/>
    <w:rsid w:val="00150821"/>
    <w:rsid w:val="00151DE9"/>
    <w:rsid w:val="001527C5"/>
    <w:rsid w:val="001529F8"/>
    <w:rsid w:val="00155F20"/>
    <w:rsid w:val="00156828"/>
    <w:rsid w:val="00156DBB"/>
    <w:rsid w:val="001601C3"/>
    <w:rsid w:val="001601E2"/>
    <w:rsid w:val="001615CD"/>
    <w:rsid w:val="00162117"/>
    <w:rsid w:val="0016330B"/>
    <w:rsid w:val="0016342A"/>
    <w:rsid w:val="00164DE4"/>
    <w:rsid w:val="001655A3"/>
    <w:rsid w:val="00165E88"/>
    <w:rsid w:val="00166E60"/>
    <w:rsid w:val="00167312"/>
    <w:rsid w:val="00167984"/>
    <w:rsid w:val="001679C5"/>
    <w:rsid w:val="00167F62"/>
    <w:rsid w:val="0017019E"/>
    <w:rsid w:val="001724F9"/>
    <w:rsid w:val="00172526"/>
    <w:rsid w:val="00172E4D"/>
    <w:rsid w:val="001735DB"/>
    <w:rsid w:val="0017515A"/>
    <w:rsid w:val="00176060"/>
    <w:rsid w:val="0017772C"/>
    <w:rsid w:val="001777D3"/>
    <w:rsid w:val="00180C5B"/>
    <w:rsid w:val="00182158"/>
    <w:rsid w:val="00182169"/>
    <w:rsid w:val="0018402B"/>
    <w:rsid w:val="0018408B"/>
    <w:rsid w:val="001843F7"/>
    <w:rsid w:val="00186369"/>
    <w:rsid w:val="001864C7"/>
    <w:rsid w:val="00187E78"/>
    <w:rsid w:val="001923D4"/>
    <w:rsid w:val="001939E8"/>
    <w:rsid w:val="00195843"/>
    <w:rsid w:val="001958A4"/>
    <w:rsid w:val="00196B55"/>
    <w:rsid w:val="0019743E"/>
    <w:rsid w:val="00197A8D"/>
    <w:rsid w:val="001A2821"/>
    <w:rsid w:val="001A315E"/>
    <w:rsid w:val="001A33C8"/>
    <w:rsid w:val="001A3592"/>
    <w:rsid w:val="001A4F19"/>
    <w:rsid w:val="001A59D1"/>
    <w:rsid w:val="001A5D7C"/>
    <w:rsid w:val="001B03AB"/>
    <w:rsid w:val="001B0FFD"/>
    <w:rsid w:val="001B1004"/>
    <w:rsid w:val="001B1983"/>
    <w:rsid w:val="001B3985"/>
    <w:rsid w:val="001B727C"/>
    <w:rsid w:val="001B74DA"/>
    <w:rsid w:val="001B791B"/>
    <w:rsid w:val="001C04F3"/>
    <w:rsid w:val="001C069F"/>
    <w:rsid w:val="001C11E6"/>
    <w:rsid w:val="001C1BDA"/>
    <w:rsid w:val="001C2881"/>
    <w:rsid w:val="001C2AD9"/>
    <w:rsid w:val="001C4E9F"/>
    <w:rsid w:val="001C5F92"/>
    <w:rsid w:val="001C6345"/>
    <w:rsid w:val="001C6A82"/>
    <w:rsid w:val="001D3A9B"/>
    <w:rsid w:val="001D422B"/>
    <w:rsid w:val="001D4377"/>
    <w:rsid w:val="001D4CDF"/>
    <w:rsid w:val="001D61C1"/>
    <w:rsid w:val="001D6B71"/>
    <w:rsid w:val="001E08B9"/>
    <w:rsid w:val="001E1294"/>
    <w:rsid w:val="001E1DE6"/>
    <w:rsid w:val="001E22A0"/>
    <w:rsid w:val="001E242A"/>
    <w:rsid w:val="001E382B"/>
    <w:rsid w:val="001E474A"/>
    <w:rsid w:val="001E672B"/>
    <w:rsid w:val="001F18E3"/>
    <w:rsid w:val="001F3596"/>
    <w:rsid w:val="001F51A8"/>
    <w:rsid w:val="001F59A0"/>
    <w:rsid w:val="001F5B08"/>
    <w:rsid w:val="002008CD"/>
    <w:rsid w:val="00200F52"/>
    <w:rsid w:val="002014E7"/>
    <w:rsid w:val="00202173"/>
    <w:rsid w:val="002035A3"/>
    <w:rsid w:val="00204291"/>
    <w:rsid w:val="00204633"/>
    <w:rsid w:val="00204B3C"/>
    <w:rsid w:val="00207613"/>
    <w:rsid w:val="00207F1E"/>
    <w:rsid w:val="00210C7E"/>
    <w:rsid w:val="00211C15"/>
    <w:rsid w:val="002128F1"/>
    <w:rsid w:val="00215D18"/>
    <w:rsid w:val="00217EA4"/>
    <w:rsid w:val="0022064E"/>
    <w:rsid w:val="0022213E"/>
    <w:rsid w:val="0022230C"/>
    <w:rsid w:val="00222ECA"/>
    <w:rsid w:val="002238C3"/>
    <w:rsid w:val="0022442D"/>
    <w:rsid w:val="00225E1C"/>
    <w:rsid w:val="00226047"/>
    <w:rsid w:val="00233162"/>
    <w:rsid w:val="00233C5A"/>
    <w:rsid w:val="00234D47"/>
    <w:rsid w:val="00234EF0"/>
    <w:rsid w:val="0023507D"/>
    <w:rsid w:val="0023508C"/>
    <w:rsid w:val="002359AC"/>
    <w:rsid w:val="00235FF7"/>
    <w:rsid w:val="00237C5E"/>
    <w:rsid w:val="00240237"/>
    <w:rsid w:val="002420F6"/>
    <w:rsid w:val="00242763"/>
    <w:rsid w:val="00243F88"/>
    <w:rsid w:val="002445F5"/>
    <w:rsid w:val="002446CB"/>
    <w:rsid w:val="00245F1C"/>
    <w:rsid w:val="00250E71"/>
    <w:rsid w:val="002516D4"/>
    <w:rsid w:val="00253E3C"/>
    <w:rsid w:val="00254341"/>
    <w:rsid w:val="002548C1"/>
    <w:rsid w:val="002600CB"/>
    <w:rsid w:val="0026026C"/>
    <w:rsid w:val="00260A42"/>
    <w:rsid w:val="00260EBF"/>
    <w:rsid w:val="00261C1C"/>
    <w:rsid w:val="00262994"/>
    <w:rsid w:val="00263245"/>
    <w:rsid w:val="002635FD"/>
    <w:rsid w:val="00264191"/>
    <w:rsid w:val="00264CBD"/>
    <w:rsid w:val="00264FD9"/>
    <w:rsid w:val="00266338"/>
    <w:rsid w:val="00267916"/>
    <w:rsid w:val="00270C30"/>
    <w:rsid w:val="00270EAD"/>
    <w:rsid w:val="00271BDD"/>
    <w:rsid w:val="00273044"/>
    <w:rsid w:val="002755EA"/>
    <w:rsid w:val="002761C3"/>
    <w:rsid w:val="00277168"/>
    <w:rsid w:val="00280B0A"/>
    <w:rsid w:val="002830CF"/>
    <w:rsid w:val="002831EE"/>
    <w:rsid w:val="002834A3"/>
    <w:rsid w:val="00284072"/>
    <w:rsid w:val="0028473E"/>
    <w:rsid w:val="00284CCC"/>
    <w:rsid w:val="00284FB8"/>
    <w:rsid w:val="002907FE"/>
    <w:rsid w:val="00291B45"/>
    <w:rsid w:val="00292AEC"/>
    <w:rsid w:val="00293067"/>
    <w:rsid w:val="00293883"/>
    <w:rsid w:val="00293E2B"/>
    <w:rsid w:val="002A4A04"/>
    <w:rsid w:val="002A594F"/>
    <w:rsid w:val="002A780A"/>
    <w:rsid w:val="002B0D3B"/>
    <w:rsid w:val="002B2279"/>
    <w:rsid w:val="002B239A"/>
    <w:rsid w:val="002B38B9"/>
    <w:rsid w:val="002B4039"/>
    <w:rsid w:val="002B48EB"/>
    <w:rsid w:val="002B69AC"/>
    <w:rsid w:val="002C15F0"/>
    <w:rsid w:val="002C2FD0"/>
    <w:rsid w:val="002C36AA"/>
    <w:rsid w:val="002C657F"/>
    <w:rsid w:val="002C75E5"/>
    <w:rsid w:val="002D214A"/>
    <w:rsid w:val="002D2F2B"/>
    <w:rsid w:val="002D4A15"/>
    <w:rsid w:val="002D4BDE"/>
    <w:rsid w:val="002D706C"/>
    <w:rsid w:val="002E1DA3"/>
    <w:rsid w:val="002E3C50"/>
    <w:rsid w:val="002E6815"/>
    <w:rsid w:val="002F0A65"/>
    <w:rsid w:val="002F0EDA"/>
    <w:rsid w:val="002F1CB6"/>
    <w:rsid w:val="002F209B"/>
    <w:rsid w:val="002F3A9A"/>
    <w:rsid w:val="002F4497"/>
    <w:rsid w:val="002F4892"/>
    <w:rsid w:val="002F4A48"/>
    <w:rsid w:val="002F4E82"/>
    <w:rsid w:val="002F5232"/>
    <w:rsid w:val="002F593A"/>
    <w:rsid w:val="002F5FC9"/>
    <w:rsid w:val="002F66C1"/>
    <w:rsid w:val="00300328"/>
    <w:rsid w:val="0030043E"/>
    <w:rsid w:val="00303DD2"/>
    <w:rsid w:val="00304668"/>
    <w:rsid w:val="003049C6"/>
    <w:rsid w:val="00306C78"/>
    <w:rsid w:val="0031113E"/>
    <w:rsid w:val="00311399"/>
    <w:rsid w:val="00311FFD"/>
    <w:rsid w:val="00314637"/>
    <w:rsid w:val="00315842"/>
    <w:rsid w:val="00315BC8"/>
    <w:rsid w:val="003202BA"/>
    <w:rsid w:val="0032211F"/>
    <w:rsid w:val="0032279A"/>
    <w:rsid w:val="003250ED"/>
    <w:rsid w:val="00325650"/>
    <w:rsid w:val="00326683"/>
    <w:rsid w:val="003267DF"/>
    <w:rsid w:val="00331604"/>
    <w:rsid w:val="00332708"/>
    <w:rsid w:val="00332C45"/>
    <w:rsid w:val="00332F25"/>
    <w:rsid w:val="003332C9"/>
    <w:rsid w:val="00333587"/>
    <w:rsid w:val="00333CE9"/>
    <w:rsid w:val="0034090E"/>
    <w:rsid w:val="0034092D"/>
    <w:rsid w:val="00341AFA"/>
    <w:rsid w:val="00341CBA"/>
    <w:rsid w:val="00342F59"/>
    <w:rsid w:val="00345E13"/>
    <w:rsid w:val="00346AD6"/>
    <w:rsid w:val="00347AE7"/>
    <w:rsid w:val="00347B13"/>
    <w:rsid w:val="00350BFE"/>
    <w:rsid w:val="00350EA6"/>
    <w:rsid w:val="0035146C"/>
    <w:rsid w:val="003518C5"/>
    <w:rsid w:val="003519BF"/>
    <w:rsid w:val="00351A7C"/>
    <w:rsid w:val="00352FB3"/>
    <w:rsid w:val="0035512D"/>
    <w:rsid w:val="003557B4"/>
    <w:rsid w:val="00356B9F"/>
    <w:rsid w:val="00360033"/>
    <w:rsid w:val="00361971"/>
    <w:rsid w:val="00362DD3"/>
    <w:rsid w:val="0036489C"/>
    <w:rsid w:val="00365AAF"/>
    <w:rsid w:val="00371709"/>
    <w:rsid w:val="0037238D"/>
    <w:rsid w:val="00374896"/>
    <w:rsid w:val="00374A6A"/>
    <w:rsid w:val="0037711C"/>
    <w:rsid w:val="003778EE"/>
    <w:rsid w:val="00377C7C"/>
    <w:rsid w:val="00377DA5"/>
    <w:rsid w:val="00381EB8"/>
    <w:rsid w:val="00381F45"/>
    <w:rsid w:val="003826AA"/>
    <w:rsid w:val="003833DB"/>
    <w:rsid w:val="00386299"/>
    <w:rsid w:val="0038776A"/>
    <w:rsid w:val="0039031E"/>
    <w:rsid w:val="00390513"/>
    <w:rsid w:val="00391722"/>
    <w:rsid w:val="0039246F"/>
    <w:rsid w:val="0039433B"/>
    <w:rsid w:val="003943CE"/>
    <w:rsid w:val="00394B8F"/>
    <w:rsid w:val="003956A0"/>
    <w:rsid w:val="003961F8"/>
    <w:rsid w:val="003A0039"/>
    <w:rsid w:val="003A0B35"/>
    <w:rsid w:val="003A14D8"/>
    <w:rsid w:val="003B0A5B"/>
    <w:rsid w:val="003B0B41"/>
    <w:rsid w:val="003C0955"/>
    <w:rsid w:val="003C16DE"/>
    <w:rsid w:val="003C1F3A"/>
    <w:rsid w:val="003C28E9"/>
    <w:rsid w:val="003C32F1"/>
    <w:rsid w:val="003C34D8"/>
    <w:rsid w:val="003C414C"/>
    <w:rsid w:val="003C4F32"/>
    <w:rsid w:val="003C63C3"/>
    <w:rsid w:val="003C64FA"/>
    <w:rsid w:val="003C6E1B"/>
    <w:rsid w:val="003C7573"/>
    <w:rsid w:val="003C7E75"/>
    <w:rsid w:val="003D0E95"/>
    <w:rsid w:val="003D11D9"/>
    <w:rsid w:val="003D19D5"/>
    <w:rsid w:val="003E06AE"/>
    <w:rsid w:val="003E0EF1"/>
    <w:rsid w:val="003E17C6"/>
    <w:rsid w:val="003E3C3F"/>
    <w:rsid w:val="003E3D71"/>
    <w:rsid w:val="003E3D81"/>
    <w:rsid w:val="003E3E7B"/>
    <w:rsid w:val="003E4457"/>
    <w:rsid w:val="003E4547"/>
    <w:rsid w:val="003E5FB0"/>
    <w:rsid w:val="003E7BED"/>
    <w:rsid w:val="003F022D"/>
    <w:rsid w:val="003F04E6"/>
    <w:rsid w:val="003F0C51"/>
    <w:rsid w:val="003F0F58"/>
    <w:rsid w:val="003F2B0B"/>
    <w:rsid w:val="003F30AF"/>
    <w:rsid w:val="003F47D9"/>
    <w:rsid w:val="003F525E"/>
    <w:rsid w:val="003F529C"/>
    <w:rsid w:val="003F6093"/>
    <w:rsid w:val="003F6B6C"/>
    <w:rsid w:val="003F6CCE"/>
    <w:rsid w:val="003F7F95"/>
    <w:rsid w:val="004021DF"/>
    <w:rsid w:val="00402FFD"/>
    <w:rsid w:val="004041DA"/>
    <w:rsid w:val="004054F0"/>
    <w:rsid w:val="004072D6"/>
    <w:rsid w:val="0040790A"/>
    <w:rsid w:val="0041006A"/>
    <w:rsid w:val="0041013C"/>
    <w:rsid w:val="00414826"/>
    <w:rsid w:val="00414D10"/>
    <w:rsid w:val="00415682"/>
    <w:rsid w:val="0041680A"/>
    <w:rsid w:val="00416876"/>
    <w:rsid w:val="004171C3"/>
    <w:rsid w:val="004203FE"/>
    <w:rsid w:val="00420A1C"/>
    <w:rsid w:val="00422480"/>
    <w:rsid w:val="00422C63"/>
    <w:rsid w:val="004232EE"/>
    <w:rsid w:val="004246BE"/>
    <w:rsid w:val="00425204"/>
    <w:rsid w:val="00425661"/>
    <w:rsid w:val="0042591D"/>
    <w:rsid w:val="00427A7D"/>
    <w:rsid w:val="00432C56"/>
    <w:rsid w:val="0043375F"/>
    <w:rsid w:val="004339DE"/>
    <w:rsid w:val="004356C0"/>
    <w:rsid w:val="00437727"/>
    <w:rsid w:val="00437E15"/>
    <w:rsid w:val="00440151"/>
    <w:rsid w:val="004402C8"/>
    <w:rsid w:val="0044176A"/>
    <w:rsid w:val="00441E56"/>
    <w:rsid w:val="00441F34"/>
    <w:rsid w:val="00442CA9"/>
    <w:rsid w:val="00443824"/>
    <w:rsid w:val="00443DF0"/>
    <w:rsid w:val="00444CE5"/>
    <w:rsid w:val="00446564"/>
    <w:rsid w:val="00446C0F"/>
    <w:rsid w:val="0044706F"/>
    <w:rsid w:val="00450DAF"/>
    <w:rsid w:val="004520DA"/>
    <w:rsid w:val="00452A9B"/>
    <w:rsid w:val="00453072"/>
    <w:rsid w:val="00454043"/>
    <w:rsid w:val="0045568D"/>
    <w:rsid w:val="00455FB5"/>
    <w:rsid w:val="00456DF0"/>
    <w:rsid w:val="00456E25"/>
    <w:rsid w:val="00457020"/>
    <w:rsid w:val="00461D99"/>
    <w:rsid w:val="00462244"/>
    <w:rsid w:val="004625A6"/>
    <w:rsid w:val="00463AF8"/>
    <w:rsid w:val="00464F79"/>
    <w:rsid w:val="00464F82"/>
    <w:rsid w:val="00465DE4"/>
    <w:rsid w:val="00465F16"/>
    <w:rsid w:val="00466D9E"/>
    <w:rsid w:val="004702E2"/>
    <w:rsid w:val="00474B8D"/>
    <w:rsid w:val="00474C52"/>
    <w:rsid w:val="00475BE8"/>
    <w:rsid w:val="004771B7"/>
    <w:rsid w:val="004776CD"/>
    <w:rsid w:val="00477D23"/>
    <w:rsid w:val="0048041B"/>
    <w:rsid w:val="004806C5"/>
    <w:rsid w:val="00482145"/>
    <w:rsid w:val="00484715"/>
    <w:rsid w:val="004865D6"/>
    <w:rsid w:val="004924CB"/>
    <w:rsid w:val="00492AF1"/>
    <w:rsid w:val="00494E86"/>
    <w:rsid w:val="004A1485"/>
    <w:rsid w:val="004A3050"/>
    <w:rsid w:val="004A3D84"/>
    <w:rsid w:val="004A4EEF"/>
    <w:rsid w:val="004A57BA"/>
    <w:rsid w:val="004A5870"/>
    <w:rsid w:val="004A7113"/>
    <w:rsid w:val="004A76F9"/>
    <w:rsid w:val="004A7F3C"/>
    <w:rsid w:val="004B05A2"/>
    <w:rsid w:val="004B2515"/>
    <w:rsid w:val="004B291B"/>
    <w:rsid w:val="004B2AD6"/>
    <w:rsid w:val="004B38B4"/>
    <w:rsid w:val="004B3F36"/>
    <w:rsid w:val="004B4701"/>
    <w:rsid w:val="004B700F"/>
    <w:rsid w:val="004C07DC"/>
    <w:rsid w:val="004C32D7"/>
    <w:rsid w:val="004C33B2"/>
    <w:rsid w:val="004C3494"/>
    <w:rsid w:val="004C4077"/>
    <w:rsid w:val="004C40F7"/>
    <w:rsid w:val="004C431C"/>
    <w:rsid w:val="004C45C0"/>
    <w:rsid w:val="004C4A1B"/>
    <w:rsid w:val="004D049E"/>
    <w:rsid w:val="004D0659"/>
    <w:rsid w:val="004D0E87"/>
    <w:rsid w:val="004D25C5"/>
    <w:rsid w:val="004D2F3D"/>
    <w:rsid w:val="004D3943"/>
    <w:rsid w:val="004D59DF"/>
    <w:rsid w:val="004D7B7F"/>
    <w:rsid w:val="004E0525"/>
    <w:rsid w:val="004E087D"/>
    <w:rsid w:val="004E0BC7"/>
    <w:rsid w:val="004E0D3C"/>
    <w:rsid w:val="004E1606"/>
    <w:rsid w:val="004E1E2E"/>
    <w:rsid w:val="004E2913"/>
    <w:rsid w:val="004E4B75"/>
    <w:rsid w:val="004E6E8A"/>
    <w:rsid w:val="004E70D0"/>
    <w:rsid w:val="004E7EA3"/>
    <w:rsid w:val="004F0193"/>
    <w:rsid w:val="004F361B"/>
    <w:rsid w:val="004F4D2B"/>
    <w:rsid w:val="004F6E52"/>
    <w:rsid w:val="004F6F56"/>
    <w:rsid w:val="00500A6A"/>
    <w:rsid w:val="00502CC3"/>
    <w:rsid w:val="005032B0"/>
    <w:rsid w:val="0051016C"/>
    <w:rsid w:val="0051331E"/>
    <w:rsid w:val="00515144"/>
    <w:rsid w:val="0051562F"/>
    <w:rsid w:val="0051670C"/>
    <w:rsid w:val="00521EB5"/>
    <w:rsid w:val="0052387F"/>
    <w:rsid w:val="00523DBC"/>
    <w:rsid w:val="00526ADA"/>
    <w:rsid w:val="00533032"/>
    <w:rsid w:val="00534A49"/>
    <w:rsid w:val="00534D20"/>
    <w:rsid w:val="005358A4"/>
    <w:rsid w:val="00536814"/>
    <w:rsid w:val="00536DF4"/>
    <w:rsid w:val="0053797B"/>
    <w:rsid w:val="005440BD"/>
    <w:rsid w:val="00544834"/>
    <w:rsid w:val="00545FE2"/>
    <w:rsid w:val="00547309"/>
    <w:rsid w:val="00550CE6"/>
    <w:rsid w:val="00551861"/>
    <w:rsid w:val="005536E3"/>
    <w:rsid w:val="00553709"/>
    <w:rsid w:val="00553AB9"/>
    <w:rsid w:val="005549D7"/>
    <w:rsid w:val="00556401"/>
    <w:rsid w:val="005612F0"/>
    <w:rsid w:val="005633D6"/>
    <w:rsid w:val="00563CF4"/>
    <w:rsid w:val="0056416E"/>
    <w:rsid w:val="00564BF6"/>
    <w:rsid w:val="00564E53"/>
    <w:rsid w:val="00565D5E"/>
    <w:rsid w:val="00566EF5"/>
    <w:rsid w:val="00567EFA"/>
    <w:rsid w:val="005705EF"/>
    <w:rsid w:val="00571238"/>
    <w:rsid w:val="005734FD"/>
    <w:rsid w:val="0057384F"/>
    <w:rsid w:val="00574F07"/>
    <w:rsid w:val="00575002"/>
    <w:rsid w:val="00576143"/>
    <w:rsid w:val="00576889"/>
    <w:rsid w:val="00576D2F"/>
    <w:rsid w:val="00577EB6"/>
    <w:rsid w:val="005801FD"/>
    <w:rsid w:val="00580782"/>
    <w:rsid w:val="00580B7B"/>
    <w:rsid w:val="00581BC9"/>
    <w:rsid w:val="00590829"/>
    <w:rsid w:val="00590BC7"/>
    <w:rsid w:val="00593B22"/>
    <w:rsid w:val="00593B7A"/>
    <w:rsid w:val="00594A2F"/>
    <w:rsid w:val="005952B5"/>
    <w:rsid w:val="005956D0"/>
    <w:rsid w:val="00595B9A"/>
    <w:rsid w:val="005962C4"/>
    <w:rsid w:val="00597423"/>
    <w:rsid w:val="00597FA0"/>
    <w:rsid w:val="005A2161"/>
    <w:rsid w:val="005A27ED"/>
    <w:rsid w:val="005A2CA3"/>
    <w:rsid w:val="005A34DA"/>
    <w:rsid w:val="005A40DB"/>
    <w:rsid w:val="005A4FF7"/>
    <w:rsid w:val="005A50CA"/>
    <w:rsid w:val="005A5AF6"/>
    <w:rsid w:val="005A71F9"/>
    <w:rsid w:val="005A7623"/>
    <w:rsid w:val="005B1E22"/>
    <w:rsid w:val="005B4E81"/>
    <w:rsid w:val="005B7B60"/>
    <w:rsid w:val="005C01AC"/>
    <w:rsid w:val="005C0483"/>
    <w:rsid w:val="005C2237"/>
    <w:rsid w:val="005C333C"/>
    <w:rsid w:val="005C376F"/>
    <w:rsid w:val="005C3C12"/>
    <w:rsid w:val="005C423A"/>
    <w:rsid w:val="005C53CA"/>
    <w:rsid w:val="005C59E1"/>
    <w:rsid w:val="005C7C86"/>
    <w:rsid w:val="005D1A2A"/>
    <w:rsid w:val="005D1D6F"/>
    <w:rsid w:val="005D2B35"/>
    <w:rsid w:val="005D325E"/>
    <w:rsid w:val="005D3DD3"/>
    <w:rsid w:val="005D676F"/>
    <w:rsid w:val="005D7AE2"/>
    <w:rsid w:val="005E000A"/>
    <w:rsid w:val="005E06E1"/>
    <w:rsid w:val="005E38B5"/>
    <w:rsid w:val="005E49D8"/>
    <w:rsid w:val="005E4E0B"/>
    <w:rsid w:val="005E55D7"/>
    <w:rsid w:val="005E6003"/>
    <w:rsid w:val="005E7297"/>
    <w:rsid w:val="005E7EB0"/>
    <w:rsid w:val="005F1D6E"/>
    <w:rsid w:val="005F2A71"/>
    <w:rsid w:val="005F3C3F"/>
    <w:rsid w:val="005F3EC3"/>
    <w:rsid w:val="005F500C"/>
    <w:rsid w:val="005F65F1"/>
    <w:rsid w:val="005F7002"/>
    <w:rsid w:val="006019E4"/>
    <w:rsid w:val="00602638"/>
    <w:rsid w:val="0060284C"/>
    <w:rsid w:val="006050CD"/>
    <w:rsid w:val="0060534D"/>
    <w:rsid w:val="006072C5"/>
    <w:rsid w:val="0060755C"/>
    <w:rsid w:val="006077D0"/>
    <w:rsid w:val="00607B97"/>
    <w:rsid w:val="00611C97"/>
    <w:rsid w:val="0061378B"/>
    <w:rsid w:val="00614C92"/>
    <w:rsid w:val="0061611F"/>
    <w:rsid w:val="0061725F"/>
    <w:rsid w:val="006208A2"/>
    <w:rsid w:val="00624851"/>
    <w:rsid w:val="00625113"/>
    <w:rsid w:val="00625729"/>
    <w:rsid w:val="00626DE7"/>
    <w:rsid w:val="006276DB"/>
    <w:rsid w:val="00631068"/>
    <w:rsid w:val="006316A7"/>
    <w:rsid w:val="0063188F"/>
    <w:rsid w:val="00631E5C"/>
    <w:rsid w:val="00632295"/>
    <w:rsid w:val="00634D40"/>
    <w:rsid w:val="00634E98"/>
    <w:rsid w:val="0063558F"/>
    <w:rsid w:val="00635DB1"/>
    <w:rsid w:val="00637346"/>
    <w:rsid w:val="00640C8D"/>
    <w:rsid w:val="006412DC"/>
    <w:rsid w:val="00642464"/>
    <w:rsid w:val="006447C2"/>
    <w:rsid w:val="00644D66"/>
    <w:rsid w:val="00645627"/>
    <w:rsid w:val="00645F2D"/>
    <w:rsid w:val="00646127"/>
    <w:rsid w:val="00647FF7"/>
    <w:rsid w:val="00650741"/>
    <w:rsid w:val="00651055"/>
    <w:rsid w:val="00651197"/>
    <w:rsid w:val="00651888"/>
    <w:rsid w:val="00651D42"/>
    <w:rsid w:val="006521AA"/>
    <w:rsid w:val="0065365C"/>
    <w:rsid w:val="0065439E"/>
    <w:rsid w:val="0065546C"/>
    <w:rsid w:val="006558AE"/>
    <w:rsid w:val="00656435"/>
    <w:rsid w:val="00656DE3"/>
    <w:rsid w:val="00660292"/>
    <w:rsid w:val="006620EA"/>
    <w:rsid w:val="006628C4"/>
    <w:rsid w:val="00663BD0"/>
    <w:rsid w:val="00663F4C"/>
    <w:rsid w:val="006648AF"/>
    <w:rsid w:val="0066495B"/>
    <w:rsid w:val="00665BBD"/>
    <w:rsid w:val="00665C61"/>
    <w:rsid w:val="00670110"/>
    <w:rsid w:val="00670A4E"/>
    <w:rsid w:val="00670F46"/>
    <w:rsid w:val="006725D0"/>
    <w:rsid w:val="00672BB6"/>
    <w:rsid w:val="00673C2A"/>
    <w:rsid w:val="00674469"/>
    <w:rsid w:val="006757E8"/>
    <w:rsid w:val="00675EE3"/>
    <w:rsid w:val="00677ACC"/>
    <w:rsid w:val="006811BA"/>
    <w:rsid w:val="006820D8"/>
    <w:rsid w:val="00684842"/>
    <w:rsid w:val="006848F6"/>
    <w:rsid w:val="00684986"/>
    <w:rsid w:val="006858C4"/>
    <w:rsid w:val="00686233"/>
    <w:rsid w:val="006876FF"/>
    <w:rsid w:val="0068780D"/>
    <w:rsid w:val="00690840"/>
    <w:rsid w:val="00690949"/>
    <w:rsid w:val="00690A0A"/>
    <w:rsid w:val="00691721"/>
    <w:rsid w:val="00692811"/>
    <w:rsid w:val="0069306F"/>
    <w:rsid w:val="0069351A"/>
    <w:rsid w:val="00693B49"/>
    <w:rsid w:val="00693F32"/>
    <w:rsid w:val="0069510E"/>
    <w:rsid w:val="0069691A"/>
    <w:rsid w:val="00696DDF"/>
    <w:rsid w:val="006971C4"/>
    <w:rsid w:val="006A05DE"/>
    <w:rsid w:val="006A063B"/>
    <w:rsid w:val="006A26FA"/>
    <w:rsid w:val="006A4132"/>
    <w:rsid w:val="006A59BA"/>
    <w:rsid w:val="006A6522"/>
    <w:rsid w:val="006A7E4A"/>
    <w:rsid w:val="006B2EEA"/>
    <w:rsid w:val="006B63BE"/>
    <w:rsid w:val="006B7691"/>
    <w:rsid w:val="006B7DB0"/>
    <w:rsid w:val="006C113D"/>
    <w:rsid w:val="006C175F"/>
    <w:rsid w:val="006C18A8"/>
    <w:rsid w:val="006C295C"/>
    <w:rsid w:val="006C2AB4"/>
    <w:rsid w:val="006C33F5"/>
    <w:rsid w:val="006C4A2D"/>
    <w:rsid w:val="006C608C"/>
    <w:rsid w:val="006C6502"/>
    <w:rsid w:val="006C7746"/>
    <w:rsid w:val="006D14DE"/>
    <w:rsid w:val="006D2CCC"/>
    <w:rsid w:val="006D3527"/>
    <w:rsid w:val="006D5318"/>
    <w:rsid w:val="006D5BA3"/>
    <w:rsid w:val="006D5CBB"/>
    <w:rsid w:val="006D7535"/>
    <w:rsid w:val="006E0030"/>
    <w:rsid w:val="006E1AF0"/>
    <w:rsid w:val="006E23E3"/>
    <w:rsid w:val="006E2D3D"/>
    <w:rsid w:val="006E42DC"/>
    <w:rsid w:val="006E4367"/>
    <w:rsid w:val="006E5C8B"/>
    <w:rsid w:val="006E62D5"/>
    <w:rsid w:val="006E7805"/>
    <w:rsid w:val="006E7822"/>
    <w:rsid w:val="006E7A87"/>
    <w:rsid w:val="006F0A8A"/>
    <w:rsid w:val="006F3A94"/>
    <w:rsid w:val="006F5FF6"/>
    <w:rsid w:val="006F6B53"/>
    <w:rsid w:val="006F722E"/>
    <w:rsid w:val="006F7575"/>
    <w:rsid w:val="00700D4C"/>
    <w:rsid w:val="00701C3B"/>
    <w:rsid w:val="00703795"/>
    <w:rsid w:val="0070564B"/>
    <w:rsid w:val="00705ADB"/>
    <w:rsid w:val="007060EF"/>
    <w:rsid w:val="00707A36"/>
    <w:rsid w:val="00712289"/>
    <w:rsid w:val="007128CA"/>
    <w:rsid w:val="0071306B"/>
    <w:rsid w:val="00713648"/>
    <w:rsid w:val="00713874"/>
    <w:rsid w:val="0071489C"/>
    <w:rsid w:val="007167D1"/>
    <w:rsid w:val="007170CD"/>
    <w:rsid w:val="00717A06"/>
    <w:rsid w:val="00717E84"/>
    <w:rsid w:val="00717FD9"/>
    <w:rsid w:val="0072018F"/>
    <w:rsid w:val="00720E4F"/>
    <w:rsid w:val="00721E32"/>
    <w:rsid w:val="00721F6D"/>
    <w:rsid w:val="00722661"/>
    <w:rsid w:val="007234B0"/>
    <w:rsid w:val="007240FA"/>
    <w:rsid w:val="0072481B"/>
    <w:rsid w:val="00724D5A"/>
    <w:rsid w:val="007253F4"/>
    <w:rsid w:val="00725476"/>
    <w:rsid w:val="00725D9B"/>
    <w:rsid w:val="00726C79"/>
    <w:rsid w:val="00726E1F"/>
    <w:rsid w:val="0073084D"/>
    <w:rsid w:val="007312CD"/>
    <w:rsid w:val="0073280C"/>
    <w:rsid w:val="00735016"/>
    <w:rsid w:val="00735723"/>
    <w:rsid w:val="007359CA"/>
    <w:rsid w:val="0073666F"/>
    <w:rsid w:val="00736903"/>
    <w:rsid w:val="007372D3"/>
    <w:rsid w:val="00742660"/>
    <w:rsid w:val="00743DCF"/>
    <w:rsid w:val="00744FBA"/>
    <w:rsid w:val="0074514C"/>
    <w:rsid w:val="00745909"/>
    <w:rsid w:val="00747626"/>
    <w:rsid w:val="00747E51"/>
    <w:rsid w:val="0075166A"/>
    <w:rsid w:val="007518F0"/>
    <w:rsid w:val="00751F55"/>
    <w:rsid w:val="0075231A"/>
    <w:rsid w:val="0075265B"/>
    <w:rsid w:val="007536FF"/>
    <w:rsid w:val="00754FA7"/>
    <w:rsid w:val="007559E5"/>
    <w:rsid w:val="00755BD1"/>
    <w:rsid w:val="00756AFB"/>
    <w:rsid w:val="00756C6B"/>
    <w:rsid w:val="00757020"/>
    <w:rsid w:val="00762ABC"/>
    <w:rsid w:val="00762D6D"/>
    <w:rsid w:val="0076312F"/>
    <w:rsid w:val="00763160"/>
    <w:rsid w:val="007650BC"/>
    <w:rsid w:val="00766A64"/>
    <w:rsid w:val="00766B9B"/>
    <w:rsid w:val="00766F8D"/>
    <w:rsid w:val="00770FC6"/>
    <w:rsid w:val="0077742C"/>
    <w:rsid w:val="00777C43"/>
    <w:rsid w:val="00777D55"/>
    <w:rsid w:val="007804C0"/>
    <w:rsid w:val="00781810"/>
    <w:rsid w:val="00781E29"/>
    <w:rsid w:val="00782892"/>
    <w:rsid w:val="007832BE"/>
    <w:rsid w:val="007842FE"/>
    <w:rsid w:val="00784F5B"/>
    <w:rsid w:val="007854EB"/>
    <w:rsid w:val="00785E33"/>
    <w:rsid w:val="00786AA9"/>
    <w:rsid w:val="007875BE"/>
    <w:rsid w:val="007879CA"/>
    <w:rsid w:val="007907B9"/>
    <w:rsid w:val="00790D67"/>
    <w:rsid w:val="007912C5"/>
    <w:rsid w:val="00793B47"/>
    <w:rsid w:val="00793EBD"/>
    <w:rsid w:val="00794FD4"/>
    <w:rsid w:val="007950BF"/>
    <w:rsid w:val="00795CF8"/>
    <w:rsid w:val="007962A2"/>
    <w:rsid w:val="0079753E"/>
    <w:rsid w:val="007A00EA"/>
    <w:rsid w:val="007A0693"/>
    <w:rsid w:val="007A111D"/>
    <w:rsid w:val="007A17E3"/>
    <w:rsid w:val="007A3411"/>
    <w:rsid w:val="007A5D46"/>
    <w:rsid w:val="007A6732"/>
    <w:rsid w:val="007A72DA"/>
    <w:rsid w:val="007B06E4"/>
    <w:rsid w:val="007B11AD"/>
    <w:rsid w:val="007B2C1C"/>
    <w:rsid w:val="007B5540"/>
    <w:rsid w:val="007B756D"/>
    <w:rsid w:val="007C2B9B"/>
    <w:rsid w:val="007C3D4B"/>
    <w:rsid w:val="007C56FF"/>
    <w:rsid w:val="007D072D"/>
    <w:rsid w:val="007D0CDD"/>
    <w:rsid w:val="007D0D40"/>
    <w:rsid w:val="007D1743"/>
    <w:rsid w:val="007D3CEA"/>
    <w:rsid w:val="007D46D5"/>
    <w:rsid w:val="007D6A32"/>
    <w:rsid w:val="007D796C"/>
    <w:rsid w:val="007D7CCE"/>
    <w:rsid w:val="007E0231"/>
    <w:rsid w:val="007E0236"/>
    <w:rsid w:val="007E0584"/>
    <w:rsid w:val="007E1812"/>
    <w:rsid w:val="007E3FCA"/>
    <w:rsid w:val="007E43E2"/>
    <w:rsid w:val="007E5FA4"/>
    <w:rsid w:val="007E6B07"/>
    <w:rsid w:val="007E7685"/>
    <w:rsid w:val="007F178A"/>
    <w:rsid w:val="007F1C44"/>
    <w:rsid w:val="007F2590"/>
    <w:rsid w:val="007F3169"/>
    <w:rsid w:val="007F42F2"/>
    <w:rsid w:val="007F53BF"/>
    <w:rsid w:val="007F56F4"/>
    <w:rsid w:val="007F610A"/>
    <w:rsid w:val="007F68A8"/>
    <w:rsid w:val="007F6CA6"/>
    <w:rsid w:val="0080003C"/>
    <w:rsid w:val="008018B3"/>
    <w:rsid w:val="00802B4A"/>
    <w:rsid w:val="008037F8"/>
    <w:rsid w:val="008045B8"/>
    <w:rsid w:val="00804BD6"/>
    <w:rsid w:val="00804D86"/>
    <w:rsid w:val="00804DAD"/>
    <w:rsid w:val="008070ED"/>
    <w:rsid w:val="00807376"/>
    <w:rsid w:val="00807D5B"/>
    <w:rsid w:val="00810795"/>
    <w:rsid w:val="0081090B"/>
    <w:rsid w:val="00810F06"/>
    <w:rsid w:val="00813401"/>
    <w:rsid w:val="0081598D"/>
    <w:rsid w:val="00817BE7"/>
    <w:rsid w:val="00817F80"/>
    <w:rsid w:val="00820905"/>
    <w:rsid w:val="0082105A"/>
    <w:rsid w:val="00825EF2"/>
    <w:rsid w:val="008262CC"/>
    <w:rsid w:val="008300A3"/>
    <w:rsid w:val="00830BC8"/>
    <w:rsid w:val="0083265B"/>
    <w:rsid w:val="0083310B"/>
    <w:rsid w:val="00835E7F"/>
    <w:rsid w:val="00836012"/>
    <w:rsid w:val="00840203"/>
    <w:rsid w:val="008404DD"/>
    <w:rsid w:val="00841BD9"/>
    <w:rsid w:val="00842F3E"/>
    <w:rsid w:val="008438D9"/>
    <w:rsid w:val="00843E43"/>
    <w:rsid w:val="00844924"/>
    <w:rsid w:val="008452E6"/>
    <w:rsid w:val="00845F43"/>
    <w:rsid w:val="0084636E"/>
    <w:rsid w:val="00846876"/>
    <w:rsid w:val="008501F3"/>
    <w:rsid w:val="00850BBC"/>
    <w:rsid w:val="0085176E"/>
    <w:rsid w:val="00852652"/>
    <w:rsid w:val="00852C1A"/>
    <w:rsid w:val="008560D6"/>
    <w:rsid w:val="00856DBC"/>
    <w:rsid w:val="00856F2A"/>
    <w:rsid w:val="00860A35"/>
    <w:rsid w:val="00862035"/>
    <w:rsid w:val="008623E2"/>
    <w:rsid w:val="00862812"/>
    <w:rsid w:val="0086335B"/>
    <w:rsid w:val="008640AA"/>
    <w:rsid w:val="00864919"/>
    <w:rsid w:val="00865D4C"/>
    <w:rsid w:val="00867B16"/>
    <w:rsid w:val="00870BE1"/>
    <w:rsid w:val="00870F18"/>
    <w:rsid w:val="00871256"/>
    <w:rsid w:val="008712D2"/>
    <w:rsid w:val="00871780"/>
    <w:rsid w:val="008725E0"/>
    <w:rsid w:val="00872801"/>
    <w:rsid w:val="00873947"/>
    <w:rsid w:val="00874898"/>
    <w:rsid w:val="00874A97"/>
    <w:rsid w:val="00875018"/>
    <w:rsid w:val="00875D7E"/>
    <w:rsid w:val="00876A61"/>
    <w:rsid w:val="00876C0E"/>
    <w:rsid w:val="008774C2"/>
    <w:rsid w:val="008777B7"/>
    <w:rsid w:val="00880550"/>
    <w:rsid w:val="008812F4"/>
    <w:rsid w:val="0088265F"/>
    <w:rsid w:val="00882EC2"/>
    <w:rsid w:val="00884DBA"/>
    <w:rsid w:val="00884EAD"/>
    <w:rsid w:val="00885911"/>
    <w:rsid w:val="008859E4"/>
    <w:rsid w:val="00886F1C"/>
    <w:rsid w:val="0089028B"/>
    <w:rsid w:val="00890F02"/>
    <w:rsid w:val="00891651"/>
    <w:rsid w:val="00892044"/>
    <w:rsid w:val="008926A3"/>
    <w:rsid w:val="0089313B"/>
    <w:rsid w:val="00894137"/>
    <w:rsid w:val="0089558D"/>
    <w:rsid w:val="008A011E"/>
    <w:rsid w:val="008A3C41"/>
    <w:rsid w:val="008A42ED"/>
    <w:rsid w:val="008A49DA"/>
    <w:rsid w:val="008A558F"/>
    <w:rsid w:val="008A6165"/>
    <w:rsid w:val="008A6CAE"/>
    <w:rsid w:val="008A7A12"/>
    <w:rsid w:val="008B162B"/>
    <w:rsid w:val="008B3392"/>
    <w:rsid w:val="008B57C9"/>
    <w:rsid w:val="008B5EF4"/>
    <w:rsid w:val="008B686D"/>
    <w:rsid w:val="008B7268"/>
    <w:rsid w:val="008B727A"/>
    <w:rsid w:val="008B7447"/>
    <w:rsid w:val="008C34B4"/>
    <w:rsid w:val="008C3BF7"/>
    <w:rsid w:val="008C48B8"/>
    <w:rsid w:val="008C5080"/>
    <w:rsid w:val="008C6270"/>
    <w:rsid w:val="008D0C50"/>
    <w:rsid w:val="008D1A10"/>
    <w:rsid w:val="008D1B4E"/>
    <w:rsid w:val="008D29DD"/>
    <w:rsid w:val="008D311E"/>
    <w:rsid w:val="008D35E0"/>
    <w:rsid w:val="008D4CC9"/>
    <w:rsid w:val="008D5967"/>
    <w:rsid w:val="008D6945"/>
    <w:rsid w:val="008E264B"/>
    <w:rsid w:val="008E27DD"/>
    <w:rsid w:val="008E31E5"/>
    <w:rsid w:val="008E33DB"/>
    <w:rsid w:val="008E6F9D"/>
    <w:rsid w:val="008E75AE"/>
    <w:rsid w:val="008F294E"/>
    <w:rsid w:val="008F3F7E"/>
    <w:rsid w:val="008F5024"/>
    <w:rsid w:val="008F68EE"/>
    <w:rsid w:val="008F71EC"/>
    <w:rsid w:val="008F7350"/>
    <w:rsid w:val="008F7734"/>
    <w:rsid w:val="00900EEB"/>
    <w:rsid w:val="00902A06"/>
    <w:rsid w:val="00903757"/>
    <w:rsid w:val="00903B57"/>
    <w:rsid w:val="00903B64"/>
    <w:rsid w:val="00904E24"/>
    <w:rsid w:val="00905494"/>
    <w:rsid w:val="009069D7"/>
    <w:rsid w:val="00906CE9"/>
    <w:rsid w:val="009071C1"/>
    <w:rsid w:val="00907DFC"/>
    <w:rsid w:val="00910A6F"/>
    <w:rsid w:val="00911903"/>
    <w:rsid w:val="009130DF"/>
    <w:rsid w:val="009151FF"/>
    <w:rsid w:val="0091528B"/>
    <w:rsid w:val="009165D4"/>
    <w:rsid w:val="0092180C"/>
    <w:rsid w:val="009222CD"/>
    <w:rsid w:val="009227FD"/>
    <w:rsid w:val="00924012"/>
    <w:rsid w:val="00925AF1"/>
    <w:rsid w:val="009260BA"/>
    <w:rsid w:val="00931CA8"/>
    <w:rsid w:val="009342FA"/>
    <w:rsid w:val="009367EC"/>
    <w:rsid w:val="00940A27"/>
    <w:rsid w:val="009437DF"/>
    <w:rsid w:val="00945631"/>
    <w:rsid w:val="00945CBD"/>
    <w:rsid w:val="00947D94"/>
    <w:rsid w:val="009500C4"/>
    <w:rsid w:val="00950946"/>
    <w:rsid w:val="00950B11"/>
    <w:rsid w:val="009518F1"/>
    <w:rsid w:val="0095267E"/>
    <w:rsid w:val="00952A23"/>
    <w:rsid w:val="00953BFB"/>
    <w:rsid w:val="00954B94"/>
    <w:rsid w:val="00954F28"/>
    <w:rsid w:val="009552E7"/>
    <w:rsid w:val="00955377"/>
    <w:rsid w:val="00960B31"/>
    <w:rsid w:val="00961806"/>
    <w:rsid w:val="0096247A"/>
    <w:rsid w:val="00964436"/>
    <w:rsid w:val="009648D0"/>
    <w:rsid w:val="009651F3"/>
    <w:rsid w:val="00965A90"/>
    <w:rsid w:val="00965B1D"/>
    <w:rsid w:val="00966059"/>
    <w:rsid w:val="0096632A"/>
    <w:rsid w:val="00966D2E"/>
    <w:rsid w:val="00970C47"/>
    <w:rsid w:val="00972774"/>
    <w:rsid w:val="00974B7F"/>
    <w:rsid w:val="00974CAD"/>
    <w:rsid w:val="0097579E"/>
    <w:rsid w:val="00976E12"/>
    <w:rsid w:val="00977476"/>
    <w:rsid w:val="009806B2"/>
    <w:rsid w:val="00980723"/>
    <w:rsid w:val="00981C7F"/>
    <w:rsid w:val="00981E3B"/>
    <w:rsid w:val="00981F68"/>
    <w:rsid w:val="009875CE"/>
    <w:rsid w:val="00987872"/>
    <w:rsid w:val="00991B39"/>
    <w:rsid w:val="0099281E"/>
    <w:rsid w:val="00993FF5"/>
    <w:rsid w:val="00994336"/>
    <w:rsid w:val="00995261"/>
    <w:rsid w:val="00995C64"/>
    <w:rsid w:val="00996DAE"/>
    <w:rsid w:val="00997846"/>
    <w:rsid w:val="00997F53"/>
    <w:rsid w:val="009A1A93"/>
    <w:rsid w:val="009A2023"/>
    <w:rsid w:val="009A4ED6"/>
    <w:rsid w:val="009A4F23"/>
    <w:rsid w:val="009A6888"/>
    <w:rsid w:val="009A69B8"/>
    <w:rsid w:val="009A6A79"/>
    <w:rsid w:val="009A7A48"/>
    <w:rsid w:val="009A7E12"/>
    <w:rsid w:val="009B260E"/>
    <w:rsid w:val="009B27A7"/>
    <w:rsid w:val="009B3892"/>
    <w:rsid w:val="009B3F31"/>
    <w:rsid w:val="009B485F"/>
    <w:rsid w:val="009B4CDC"/>
    <w:rsid w:val="009B4D2C"/>
    <w:rsid w:val="009B53E6"/>
    <w:rsid w:val="009B5DBB"/>
    <w:rsid w:val="009B6766"/>
    <w:rsid w:val="009B7CE7"/>
    <w:rsid w:val="009C2B0C"/>
    <w:rsid w:val="009C469F"/>
    <w:rsid w:val="009C47BE"/>
    <w:rsid w:val="009C4DAE"/>
    <w:rsid w:val="009C4E6E"/>
    <w:rsid w:val="009C52AD"/>
    <w:rsid w:val="009C5B30"/>
    <w:rsid w:val="009D56EA"/>
    <w:rsid w:val="009E2CC1"/>
    <w:rsid w:val="009E2E03"/>
    <w:rsid w:val="009E7EF6"/>
    <w:rsid w:val="009F18D3"/>
    <w:rsid w:val="009F2164"/>
    <w:rsid w:val="009F3122"/>
    <w:rsid w:val="009F4453"/>
    <w:rsid w:val="009F4E43"/>
    <w:rsid w:val="00A019C9"/>
    <w:rsid w:val="00A01E7C"/>
    <w:rsid w:val="00A0301E"/>
    <w:rsid w:val="00A041B2"/>
    <w:rsid w:val="00A04E33"/>
    <w:rsid w:val="00A04FEB"/>
    <w:rsid w:val="00A0601E"/>
    <w:rsid w:val="00A06E75"/>
    <w:rsid w:val="00A06EBA"/>
    <w:rsid w:val="00A07F90"/>
    <w:rsid w:val="00A1082B"/>
    <w:rsid w:val="00A10F9F"/>
    <w:rsid w:val="00A1128F"/>
    <w:rsid w:val="00A11CD1"/>
    <w:rsid w:val="00A12E6C"/>
    <w:rsid w:val="00A14E54"/>
    <w:rsid w:val="00A15E64"/>
    <w:rsid w:val="00A16CBE"/>
    <w:rsid w:val="00A16EF1"/>
    <w:rsid w:val="00A201E7"/>
    <w:rsid w:val="00A202B5"/>
    <w:rsid w:val="00A205A7"/>
    <w:rsid w:val="00A21AF7"/>
    <w:rsid w:val="00A2214F"/>
    <w:rsid w:val="00A236C9"/>
    <w:rsid w:val="00A2404E"/>
    <w:rsid w:val="00A24510"/>
    <w:rsid w:val="00A24D44"/>
    <w:rsid w:val="00A26FC6"/>
    <w:rsid w:val="00A26FFB"/>
    <w:rsid w:val="00A272C7"/>
    <w:rsid w:val="00A27766"/>
    <w:rsid w:val="00A305C6"/>
    <w:rsid w:val="00A3086B"/>
    <w:rsid w:val="00A30A5B"/>
    <w:rsid w:val="00A3229A"/>
    <w:rsid w:val="00A327EB"/>
    <w:rsid w:val="00A3327B"/>
    <w:rsid w:val="00A3351F"/>
    <w:rsid w:val="00A36631"/>
    <w:rsid w:val="00A36B65"/>
    <w:rsid w:val="00A374A9"/>
    <w:rsid w:val="00A40D47"/>
    <w:rsid w:val="00A412BF"/>
    <w:rsid w:val="00A430DF"/>
    <w:rsid w:val="00A4577D"/>
    <w:rsid w:val="00A47E94"/>
    <w:rsid w:val="00A5241B"/>
    <w:rsid w:val="00A5270F"/>
    <w:rsid w:val="00A52AF9"/>
    <w:rsid w:val="00A541FC"/>
    <w:rsid w:val="00A5471D"/>
    <w:rsid w:val="00A54FE1"/>
    <w:rsid w:val="00A55CE8"/>
    <w:rsid w:val="00A56AEC"/>
    <w:rsid w:val="00A60342"/>
    <w:rsid w:val="00A621FE"/>
    <w:rsid w:val="00A628C4"/>
    <w:rsid w:val="00A65B80"/>
    <w:rsid w:val="00A661BC"/>
    <w:rsid w:val="00A664A3"/>
    <w:rsid w:val="00A66BD2"/>
    <w:rsid w:val="00A67C11"/>
    <w:rsid w:val="00A67C2D"/>
    <w:rsid w:val="00A7060F"/>
    <w:rsid w:val="00A71FC0"/>
    <w:rsid w:val="00A72AE6"/>
    <w:rsid w:val="00A73DC4"/>
    <w:rsid w:val="00A73E31"/>
    <w:rsid w:val="00A74306"/>
    <w:rsid w:val="00A7436B"/>
    <w:rsid w:val="00A7745C"/>
    <w:rsid w:val="00A807E3"/>
    <w:rsid w:val="00A82089"/>
    <w:rsid w:val="00A83CFA"/>
    <w:rsid w:val="00A848A0"/>
    <w:rsid w:val="00A85D29"/>
    <w:rsid w:val="00A87994"/>
    <w:rsid w:val="00A90126"/>
    <w:rsid w:val="00A90B1B"/>
    <w:rsid w:val="00A91A52"/>
    <w:rsid w:val="00A92834"/>
    <w:rsid w:val="00A9391F"/>
    <w:rsid w:val="00A94836"/>
    <w:rsid w:val="00A949E2"/>
    <w:rsid w:val="00A94FDD"/>
    <w:rsid w:val="00A9522A"/>
    <w:rsid w:val="00A954DD"/>
    <w:rsid w:val="00A95551"/>
    <w:rsid w:val="00A95CDD"/>
    <w:rsid w:val="00A95DB2"/>
    <w:rsid w:val="00A96BC2"/>
    <w:rsid w:val="00AA031D"/>
    <w:rsid w:val="00AA1664"/>
    <w:rsid w:val="00AA1807"/>
    <w:rsid w:val="00AA30A5"/>
    <w:rsid w:val="00AA6850"/>
    <w:rsid w:val="00AB049A"/>
    <w:rsid w:val="00AB1606"/>
    <w:rsid w:val="00AB30B9"/>
    <w:rsid w:val="00AB382C"/>
    <w:rsid w:val="00AB4217"/>
    <w:rsid w:val="00AB4F6D"/>
    <w:rsid w:val="00AB5386"/>
    <w:rsid w:val="00AB55D3"/>
    <w:rsid w:val="00AB56AF"/>
    <w:rsid w:val="00AB60D9"/>
    <w:rsid w:val="00AB6208"/>
    <w:rsid w:val="00AB699E"/>
    <w:rsid w:val="00AB746A"/>
    <w:rsid w:val="00AC027C"/>
    <w:rsid w:val="00AC149D"/>
    <w:rsid w:val="00AC16F2"/>
    <w:rsid w:val="00AC1BCA"/>
    <w:rsid w:val="00AC2679"/>
    <w:rsid w:val="00AC27B2"/>
    <w:rsid w:val="00AC374A"/>
    <w:rsid w:val="00AC4355"/>
    <w:rsid w:val="00AC448D"/>
    <w:rsid w:val="00AD1229"/>
    <w:rsid w:val="00AD1396"/>
    <w:rsid w:val="00AD1700"/>
    <w:rsid w:val="00AD31A0"/>
    <w:rsid w:val="00AD44DD"/>
    <w:rsid w:val="00AD5107"/>
    <w:rsid w:val="00AD6FE2"/>
    <w:rsid w:val="00AE428D"/>
    <w:rsid w:val="00AE4791"/>
    <w:rsid w:val="00AE63E8"/>
    <w:rsid w:val="00AE693F"/>
    <w:rsid w:val="00AE6FEA"/>
    <w:rsid w:val="00AE73F5"/>
    <w:rsid w:val="00AE786A"/>
    <w:rsid w:val="00AE79BA"/>
    <w:rsid w:val="00AE7FE7"/>
    <w:rsid w:val="00AF39A5"/>
    <w:rsid w:val="00AF40FD"/>
    <w:rsid w:val="00AF4863"/>
    <w:rsid w:val="00AF680A"/>
    <w:rsid w:val="00AF69F9"/>
    <w:rsid w:val="00AF6B32"/>
    <w:rsid w:val="00AF7C28"/>
    <w:rsid w:val="00B02070"/>
    <w:rsid w:val="00B03899"/>
    <w:rsid w:val="00B0449C"/>
    <w:rsid w:val="00B044EF"/>
    <w:rsid w:val="00B045F6"/>
    <w:rsid w:val="00B05881"/>
    <w:rsid w:val="00B05FE0"/>
    <w:rsid w:val="00B077E8"/>
    <w:rsid w:val="00B10C6A"/>
    <w:rsid w:val="00B11AF2"/>
    <w:rsid w:val="00B12593"/>
    <w:rsid w:val="00B12D1C"/>
    <w:rsid w:val="00B14A15"/>
    <w:rsid w:val="00B15DCA"/>
    <w:rsid w:val="00B15F64"/>
    <w:rsid w:val="00B16D73"/>
    <w:rsid w:val="00B179D0"/>
    <w:rsid w:val="00B20068"/>
    <w:rsid w:val="00B23241"/>
    <w:rsid w:val="00B232DD"/>
    <w:rsid w:val="00B24E74"/>
    <w:rsid w:val="00B258B4"/>
    <w:rsid w:val="00B25D9D"/>
    <w:rsid w:val="00B275A7"/>
    <w:rsid w:val="00B31AC9"/>
    <w:rsid w:val="00B31C43"/>
    <w:rsid w:val="00B332E0"/>
    <w:rsid w:val="00B3410E"/>
    <w:rsid w:val="00B35AAB"/>
    <w:rsid w:val="00B35B92"/>
    <w:rsid w:val="00B35D56"/>
    <w:rsid w:val="00B36B32"/>
    <w:rsid w:val="00B37B1E"/>
    <w:rsid w:val="00B4014D"/>
    <w:rsid w:val="00B42567"/>
    <w:rsid w:val="00B42D19"/>
    <w:rsid w:val="00B445BA"/>
    <w:rsid w:val="00B452E3"/>
    <w:rsid w:val="00B47765"/>
    <w:rsid w:val="00B52944"/>
    <w:rsid w:val="00B543CE"/>
    <w:rsid w:val="00B54BF2"/>
    <w:rsid w:val="00B54C93"/>
    <w:rsid w:val="00B56525"/>
    <w:rsid w:val="00B60BDF"/>
    <w:rsid w:val="00B60D83"/>
    <w:rsid w:val="00B649CE"/>
    <w:rsid w:val="00B64F6A"/>
    <w:rsid w:val="00B6730D"/>
    <w:rsid w:val="00B6756B"/>
    <w:rsid w:val="00B67D4B"/>
    <w:rsid w:val="00B70FAD"/>
    <w:rsid w:val="00B71940"/>
    <w:rsid w:val="00B728DE"/>
    <w:rsid w:val="00B73195"/>
    <w:rsid w:val="00B74392"/>
    <w:rsid w:val="00B745E3"/>
    <w:rsid w:val="00B745F3"/>
    <w:rsid w:val="00B746A5"/>
    <w:rsid w:val="00B76FDD"/>
    <w:rsid w:val="00B7787C"/>
    <w:rsid w:val="00B8161D"/>
    <w:rsid w:val="00B81E89"/>
    <w:rsid w:val="00B82649"/>
    <w:rsid w:val="00B82650"/>
    <w:rsid w:val="00B86212"/>
    <w:rsid w:val="00B86BCB"/>
    <w:rsid w:val="00B87159"/>
    <w:rsid w:val="00B90A7C"/>
    <w:rsid w:val="00B92BE8"/>
    <w:rsid w:val="00B92C34"/>
    <w:rsid w:val="00B92D16"/>
    <w:rsid w:val="00B935A1"/>
    <w:rsid w:val="00B93B72"/>
    <w:rsid w:val="00B93CD2"/>
    <w:rsid w:val="00B9463D"/>
    <w:rsid w:val="00B957DC"/>
    <w:rsid w:val="00B958F7"/>
    <w:rsid w:val="00B95F4B"/>
    <w:rsid w:val="00B9625E"/>
    <w:rsid w:val="00BA1131"/>
    <w:rsid w:val="00BA4FE4"/>
    <w:rsid w:val="00BA604E"/>
    <w:rsid w:val="00BA6E97"/>
    <w:rsid w:val="00BA6F52"/>
    <w:rsid w:val="00BA6F72"/>
    <w:rsid w:val="00BA7FF3"/>
    <w:rsid w:val="00BB1C80"/>
    <w:rsid w:val="00BB216B"/>
    <w:rsid w:val="00BB2BD6"/>
    <w:rsid w:val="00BB6BDD"/>
    <w:rsid w:val="00BB72EB"/>
    <w:rsid w:val="00BC05EC"/>
    <w:rsid w:val="00BC0BB5"/>
    <w:rsid w:val="00BC471B"/>
    <w:rsid w:val="00BD0877"/>
    <w:rsid w:val="00BD11E8"/>
    <w:rsid w:val="00BD171A"/>
    <w:rsid w:val="00BD246A"/>
    <w:rsid w:val="00BD26B9"/>
    <w:rsid w:val="00BD361F"/>
    <w:rsid w:val="00BD38AC"/>
    <w:rsid w:val="00BD4B13"/>
    <w:rsid w:val="00BD68FB"/>
    <w:rsid w:val="00BD6FAD"/>
    <w:rsid w:val="00BD72E4"/>
    <w:rsid w:val="00BE0112"/>
    <w:rsid w:val="00BE013A"/>
    <w:rsid w:val="00BE1741"/>
    <w:rsid w:val="00BE1774"/>
    <w:rsid w:val="00BE278A"/>
    <w:rsid w:val="00BE3AA9"/>
    <w:rsid w:val="00BE5835"/>
    <w:rsid w:val="00BE593B"/>
    <w:rsid w:val="00BE59DD"/>
    <w:rsid w:val="00BE5FD7"/>
    <w:rsid w:val="00BE72F0"/>
    <w:rsid w:val="00BE77EC"/>
    <w:rsid w:val="00BF0F34"/>
    <w:rsid w:val="00BF204B"/>
    <w:rsid w:val="00BF2E1A"/>
    <w:rsid w:val="00BF351D"/>
    <w:rsid w:val="00BF370D"/>
    <w:rsid w:val="00BF5932"/>
    <w:rsid w:val="00BF5FE2"/>
    <w:rsid w:val="00BF6028"/>
    <w:rsid w:val="00BF793F"/>
    <w:rsid w:val="00BF7F66"/>
    <w:rsid w:val="00BF7FC5"/>
    <w:rsid w:val="00C00B3D"/>
    <w:rsid w:val="00C03591"/>
    <w:rsid w:val="00C06DDB"/>
    <w:rsid w:val="00C07FAE"/>
    <w:rsid w:val="00C11582"/>
    <w:rsid w:val="00C11755"/>
    <w:rsid w:val="00C1208F"/>
    <w:rsid w:val="00C122CC"/>
    <w:rsid w:val="00C1259E"/>
    <w:rsid w:val="00C127B9"/>
    <w:rsid w:val="00C13980"/>
    <w:rsid w:val="00C13DB1"/>
    <w:rsid w:val="00C167AB"/>
    <w:rsid w:val="00C20CF2"/>
    <w:rsid w:val="00C2201E"/>
    <w:rsid w:val="00C23B0A"/>
    <w:rsid w:val="00C23FD0"/>
    <w:rsid w:val="00C24CCC"/>
    <w:rsid w:val="00C26383"/>
    <w:rsid w:val="00C2671B"/>
    <w:rsid w:val="00C2748B"/>
    <w:rsid w:val="00C314CB"/>
    <w:rsid w:val="00C31DEC"/>
    <w:rsid w:val="00C32191"/>
    <w:rsid w:val="00C34EFC"/>
    <w:rsid w:val="00C35203"/>
    <w:rsid w:val="00C3598A"/>
    <w:rsid w:val="00C36306"/>
    <w:rsid w:val="00C36431"/>
    <w:rsid w:val="00C37568"/>
    <w:rsid w:val="00C40A64"/>
    <w:rsid w:val="00C41A92"/>
    <w:rsid w:val="00C41D0A"/>
    <w:rsid w:val="00C42202"/>
    <w:rsid w:val="00C42FF8"/>
    <w:rsid w:val="00C44A7D"/>
    <w:rsid w:val="00C45C04"/>
    <w:rsid w:val="00C46FA8"/>
    <w:rsid w:val="00C4713F"/>
    <w:rsid w:val="00C47F95"/>
    <w:rsid w:val="00C50571"/>
    <w:rsid w:val="00C5154A"/>
    <w:rsid w:val="00C52D19"/>
    <w:rsid w:val="00C5499B"/>
    <w:rsid w:val="00C54EAA"/>
    <w:rsid w:val="00C57531"/>
    <w:rsid w:val="00C6260E"/>
    <w:rsid w:val="00C6286C"/>
    <w:rsid w:val="00C62F23"/>
    <w:rsid w:val="00C6347E"/>
    <w:rsid w:val="00C637E8"/>
    <w:rsid w:val="00C64A95"/>
    <w:rsid w:val="00C6525C"/>
    <w:rsid w:val="00C6635A"/>
    <w:rsid w:val="00C67245"/>
    <w:rsid w:val="00C67D07"/>
    <w:rsid w:val="00C73BC6"/>
    <w:rsid w:val="00C74059"/>
    <w:rsid w:val="00C74FE6"/>
    <w:rsid w:val="00C75765"/>
    <w:rsid w:val="00C76324"/>
    <w:rsid w:val="00C76F7D"/>
    <w:rsid w:val="00C77860"/>
    <w:rsid w:val="00C853DE"/>
    <w:rsid w:val="00C86794"/>
    <w:rsid w:val="00C90C36"/>
    <w:rsid w:val="00C90EBA"/>
    <w:rsid w:val="00C936BA"/>
    <w:rsid w:val="00C94F32"/>
    <w:rsid w:val="00C960FB"/>
    <w:rsid w:val="00C9620D"/>
    <w:rsid w:val="00C9690A"/>
    <w:rsid w:val="00C97227"/>
    <w:rsid w:val="00C97612"/>
    <w:rsid w:val="00C97645"/>
    <w:rsid w:val="00CA21F5"/>
    <w:rsid w:val="00CA2A74"/>
    <w:rsid w:val="00CA35B9"/>
    <w:rsid w:val="00CA62E7"/>
    <w:rsid w:val="00CA75A1"/>
    <w:rsid w:val="00CA7A7B"/>
    <w:rsid w:val="00CB1072"/>
    <w:rsid w:val="00CB18F5"/>
    <w:rsid w:val="00CB4265"/>
    <w:rsid w:val="00CB67A7"/>
    <w:rsid w:val="00CB7B81"/>
    <w:rsid w:val="00CB7B93"/>
    <w:rsid w:val="00CC0FE1"/>
    <w:rsid w:val="00CC1E67"/>
    <w:rsid w:val="00CD089C"/>
    <w:rsid w:val="00CD0E76"/>
    <w:rsid w:val="00CD19B6"/>
    <w:rsid w:val="00CD1E95"/>
    <w:rsid w:val="00CD20FC"/>
    <w:rsid w:val="00CD27D9"/>
    <w:rsid w:val="00CD6C5A"/>
    <w:rsid w:val="00CE00B9"/>
    <w:rsid w:val="00CE0A35"/>
    <w:rsid w:val="00CE166E"/>
    <w:rsid w:val="00CE212B"/>
    <w:rsid w:val="00CE3012"/>
    <w:rsid w:val="00CE364E"/>
    <w:rsid w:val="00CE37CA"/>
    <w:rsid w:val="00CE4540"/>
    <w:rsid w:val="00CE4F32"/>
    <w:rsid w:val="00CE57FC"/>
    <w:rsid w:val="00CE5D9B"/>
    <w:rsid w:val="00CE5F47"/>
    <w:rsid w:val="00CF3AAA"/>
    <w:rsid w:val="00CF3C95"/>
    <w:rsid w:val="00CF4554"/>
    <w:rsid w:val="00D001B4"/>
    <w:rsid w:val="00D01237"/>
    <w:rsid w:val="00D016FE"/>
    <w:rsid w:val="00D01866"/>
    <w:rsid w:val="00D024C8"/>
    <w:rsid w:val="00D02903"/>
    <w:rsid w:val="00D05512"/>
    <w:rsid w:val="00D05518"/>
    <w:rsid w:val="00D0600C"/>
    <w:rsid w:val="00D06221"/>
    <w:rsid w:val="00D1006B"/>
    <w:rsid w:val="00D1092A"/>
    <w:rsid w:val="00D131A0"/>
    <w:rsid w:val="00D13CB7"/>
    <w:rsid w:val="00D1697B"/>
    <w:rsid w:val="00D17308"/>
    <w:rsid w:val="00D17828"/>
    <w:rsid w:val="00D2191F"/>
    <w:rsid w:val="00D22A8A"/>
    <w:rsid w:val="00D23E35"/>
    <w:rsid w:val="00D24B98"/>
    <w:rsid w:val="00D2650F"/>
    <w:rsid w:val="00D27C67"/>
    <w:rsid w:val="00D3273D"/>
    <w:rsid w:val="00D32937"/>
    <w:rsid w:val="00D32E43"/>
    <w:rsid w:val="00D34027"/>
    <w:rsid w:val="00D348A1"/>
    <w:rsid w:val="00D3666C"/>
    <w:rsid w:val="00D36C60"/>
    <w:rsid w:val="00D36D43"/>
    <w:rsid w:val="00D371D7"/>
    <w:rsid w:val="00D404FB"/>
    <w:rsid w:val="00D41689"/>
    <w:rsid w:val="00D41B69"/>
    <w:rsid w:val="00D41F5F"/>
    <w:rsid w:val="00D43FAE"/>
    <w:rsid w:val="00D44154"/>
    <w:rsid w:val="00D4429F"/>
    <w:rsid w:val="00D444DF"/>
    <w:rsid w:val="00D44EE3"/>
    <w:rsid w:val="00D45436"/>
    <w:rsid w:val="00D46688"/>
    <w:rsid w:val="00D4716F"/>
    <w:rsid w:val="00D473A0"/>
    <w:rsid w:val="00D477AD"/>
    <w:rsid w:val="00D47B02"/>
    <w:rsid w:val="00D47C0C"/>
    <w:rsid w:val="00D5175F"/>
    <w:rsid w:val="00D5252F"/>
    <w:rsid w:val="00D539A4"/>
    <w:rsid w:val="00D53BD1"/>
    <w:rsid w:val="00D57A7E"/>
    <w:rsid w:val="00D600FB"/>
    <w:rsid w:val="00D60171"/>
    <w:rsid w:val="00D611B0"/>
    <w:rsid w:val="00D6158B"/>
    <w:rsid w:val="00D6179E"/>
    <w:rsid w:val="00D61CA0"/>
    <w:rsid w:val="00D61F7C"/>
    <w:rsid w:val="00D6261F"/>
    <w:rsid w:val="00D65BEF"/>
    <w:rsid w:val="00D6728B"/>
    <w:rsid w:val="00D6729E"/>
    <w:rsid w:val="00D672DC"/>
    <w:rsid w:val="00D679BA"/>
    <w:rsid w:val="00D700F9"/>
    <w:rsid w:val="00D70C5D"/>
    <w:rsid w:val="00D70CC7"/>
    <w:rsid w:val="00D71A33"/>
    <w:rsid w:val="00D71C66"/>
    <w:rsid w:val="00D72082"/>
    <w:rsid w:val="00D722F2"/>
    <w:rsid w:val="00D72F32"/>
    <w:rsid w:val="00D73138"/>
    <w:rsid w:val="00D7348F"/>
    <w:rsid w:val="00D73C44"/>
    <w:rsid w:val="00D753CC"/>
    <w:rsid w:val="00D7561F"/>
    <w:rsid w:val="00D757DC"/>
    <w:rsid w:val="00D75AEC"/>
    <w:rsid w:val="00D75EE9"/>
    <w:rsid w:val="00D766CC"/>
    <w:rsid w:val="00D7693F"/>
    <w:rsid w:val="00D8267E"/>
    <w:rsid w:val="00D83B2E"/>
    <w:rsid w:val="00D84630"/>
    <w:rsid w:val="00D84666"/>
    <w:rsid w:val="00D87892"/>
    <w:rsid w:val="00D90717"/>
    <w:rsid w:val="00D90C75"/>
    <w:rsid w:val="00D92170"/>
    <w:rsid w:val="00D96BAB"/>
    <w:rsid w:val="00D97784"/>
    <w:rsid w:val="00D97D04"/>
    <w:rsid w:val="00DA197E"/>
    <w:rsid w:val="00DA1A02"/>
    <w:rsid w:val="00DA1D3B"/>
    <w:rsid w:val="00DA430B"/>
    <w:rsid w:val="00DA6A62"/>
    <w:rsid w:val="00DA7127"/>
    <w:rsid w:val="00DB16A8"/>
    <w:rsid w:val="00DB4D6A"/>
    <w:rsid w:val="00DB6808"/>
    <w:rsid w:val="00DC09EF"/>
    <w:rsid w:val="00DC1699"/>
    <w:rsid w:val="00DC2CAF"/>
    <w:rsid w:val="00DC472C"/>
    <w:rsid w:val="00DC4804"/>
    <w:rsid w:val="00DC5028"/>
    <w:rsid w:val="00DD095D"/>
    <w:rsid w:val="00DD0B32"/>
    <w:rsid w:val="00DD1412"/>
    <w:rsid w:val="00DD36C2"/>
    <w:rsid w:val="00DD4ABF"/>
    <w:rsid w:val="00DD5B8C"/>
    <w:rsid w:val="00DD5C89"/>
    <w:rsid w:val="00DD6126"/>
    <w:rsid w:val="00DD6F7A"/>
    <w:rsid w:val="00DE2D67"/>
    <w:rsid w:val="00DE5622"/>
    <w:rsid w:val="00DE620D"/>
    <w:rsid w:val="00DF0033"/>
    <w:rsid w:val="00DF0401"/>
    <w:rsid w:val="00DF09D3"/>
    <w:rsid w:val="00DF2467"/>
    <w:rsid w:val="00DF261C"/>
    <w:rsid w:val="00DF29AA"/>
    <w:rsid w:val="00DF387C"/>
    <w:rsid w:val="00DF4AB7"/>
    <w:rsid w:val="00DF5190"/>
    <w:rsid w:val="00DF59D6"/>
    <w:rsid w:val="00DF638F"/>
    <w:rsid w:val="00DF70C9"/>
    <w:rsid w:val="00E0031A"/>
    <w:rsid w:val="00E02A7C"/>
    <w:rsid w:val="00E02AE6"/>
    <w:rsid w:val="00E02BCF"/>
    <w:rsid w:val="00E02EFB"/>
    <w:rsid w:val="00E03A88"/>
    <w:rsid w:val="00E04932"/>
    <w:rsid w:val="00E04D46"/>
    <w:rsid w:val="00E05197"/>
    <w:rsid w:val="00E05230"/>
    <w:rsid w:val="00E05B1E"/>
    <w:rsid w:val="00E106E0"/>
    <w:rsid w:val="00E107BC"/>
    <w:rsid w:val="00E11D8D"/>
    <w:rsid w:val="00E12C83"/>
    <w:rsid w:val="00E1318F"/>
    <w:rsid w:val="00E13FEE"/>
    <w:rsid w:val="00E1556E"/>
    <w:rsid w:val="00E156C7"/>
    <w:rsid w:val="00E16B7A"/>
    <w:rsid w:val="00E17DCA"/>
    <w:rsid w:val="00E20C54"/>
    <w:rsid w:val="00E20D4D"/>
    <w:rsid w:val="00E210B2"/>
    <w:rsid w:val="00E23868"/>
    <w:rsid w:val="00E23952"/>
    <w:rsid w:val="00E24713"/>
    <w:rsid w:val="00E25C3E"/>
    <w:rsid w:val="00E27365"/>
    <w:rsid w:val="00E302D3"/>
    <w:rsid w:val="00E30858"/>
    <w:rsid w:val="00E31275"/>
    <w:rsid w:val="00E33D07"/>
    <w:rsid w:val="00E35715"/>
    <w:rsid w:val="00E35AF3"/>
    <w:rsid w:val="00E361DE"/>
    <w:rsid w:val="00E36B96"/>
    <w:rsid w:val="00E37777"/>
    <w:rsid w:val="00E37921"/>
    <w:rsid w:val="00E37DFC"/>
    <w:rsid w:val="00E40504"/>
    <w:rsid w:val="00E4104F"/>
    <w:rsid w:val="00E41389"/>
    <w:rsid w:val="00E41793"/>
    <w:rsid w:val="00E43071"/>
    <w:rsid w:val="00E4330F"/>
    <w:rsid w:val="00E43B47"/>
    <w:rsid w:val="00E43CD7"/>
    <w:rsid w:val="00E443A7"/>
    <w:rsid w:val="00E455E7"/>
    <w:rsid w:val="00E47D69"/>
    <w:rsid w:val="00E50335"/>
    <w:rsid w:val="00E51151"/>
    <w:rsid w:val="00E51755"/>
    <w:rsid w:val="00E51C6E"/>
    <w:rsid w:val="00E525CB"/>
    <w:rsid w:val="00E5359F"/>
    <w:rsid w:val="00E54060"/>
    <w:rsid w:val="00E565BC"/>
    <w:rsid w:val="00E56C25"/>
    <w:rsid w:val="00E603A7"/>
    <w:rsid w:val="00E6042B"/>
    <w:rsid w:val="00E60915"/>
    <w:rsid w:val="00E63685"/>
    <w:rsid w:val="00E65312"/>
    <w:rsid w:val="00E65420"/>
    <w:rsid w:val="00E657F4"/>
    <w:rsid w:val="00E66098"/>
    <w:rsid w:val="00E67E72"/>
    <w:rsid w:val="00E70D64"/>
    <w:rsid w:val="00E70E7F"/>
    <w:rsid w:val="00E71919"/>
    <w:rsid w:val="00E72BA7"/>
    <w:rsid w:val="00E7357A"/>
    <w:rsid w:val="00E7398A"/>
    <w:rsid w:val="00E74B94"/>
    <w:rsid w:val="00E768A1"/>
    <w:rsid w:val="00E77174"/>
    <w:rsid w:val="00E820BC"/>
    <w:rsid w:val="00E8354A"/>
    <w:rsid w:val="00E841EA"/>
    <w:rsid w:val="00E8439C"/>
    <w:rsid w:val="00E84C5E"/>
    <w:rsid w:val="00E86D3B"/>
    <w:rsid w:val="00E8701B"/>
    <w:rsid w:val="00E91EBA"/>
    <w:rsid w:val="00E922B2"/>
    <w:rsid w:val="00E93BAC"/>
    <w:rsid w:val="00E93C46"/>
    <w:rsid w:val="00E9418F"/>
    <w:rsid w:val="00E955A1"/>
    <w:rsid w:val="00E95D66"/>
    <w:rsid w:val="00E961BA"/>
    <w:rsid w:val="00E96682"/>
    <w:rsid w:val="00E96A06"/>
    <w:rsid w:val="00E970F0"/>
    <w:rsid w:val="00E9786C"/>
    <w:rsid w:val="00E97B68"/>
    <w:rsid w:val="00EA4C68"/>
    <w:rsid w:val="00EA5DA0"/>
    <w:rsid w:val="00EA60C6"/>
    <w:rsid w:val="00EA7599"/>
    <w:rsid w:val="00EA7924"/>
    <w:rsid w:val="00EB023A"/>
    <w:rsid w:val="00EB0C60"/>
    <w:rsid w:val="00EB18A6"/>
    <w:rsid w:val="00EB19BD"/>
    <w:rsid w:val="00EB257E"/>
    <w:rsid w:val="00EB471E"/>
    <w:rsid w:val="00EB6182"/>
    <w:rsid w:val="00EB72F8"/>
    <w:rsid w:val="00EC01B7"/>
    <w:rsid w:val="00EC0B8B"/>
    <w:rsid w:val="00EC101F"/>
    <w:rsid w:val="00EC1A92"/>
    <w:rsid w:val="00EC21BB"/>
    <w:rsid w:val="00EC266C"/>
    <w:rsid w:val="00EC2A35"/>
    <w:rsid w:val="00EC5036"/>
    <w:rsid w:val="00EC5814"/>
    <w:rsid w:val="00EC5AE1"/>
    <w:rsid w:val="00EC5DDF"/>
    <w:rsid w:val="00EC76C1"/>
    <w:rsid w:val="00EC7B0D"/>
    <w:rsid w:val="00ED21CE"/>
    <w:rsid w:val="00ED29A6"/>
    <w:rsid w:val="00ED2EB0"/>
    <w:rsid w:val="00ED3A73"/>
    <w:rsid w:val="00ED3B0F"/>
    <w:rsid w:val="00ED6876"/>
    <w:rsid w:val="00ED6C33"/>
    <w:rsid w:val="00ED6D28"/>
    <w:rsid w:val="00ED7487"/>
    <w:rsid w:val="00ED7980"/>
    <w:rsid w:val="00ED7AF4"/>
    <w:rsid w:val="00EE1641"/>
    <w:rsid w:val="00EE1BFE"/>
    <w:rsid w:val="00EE1C36"/>
    <w:rsid w:val="00EE2529"/>
    <w:rsid w:val="00EE30A0"/>
    <w:rsid w:val="00EE30C8"/>
    <w:rsid w:val="00EE36F0"/>
    <w:rsid w:val="00EE591A"/>
    <w:rsid w:val="00EE702D"/>
    <w:rsid w:val="00EE7151"/>
    <w:rsid w:val="00EE72CF"/>
    <w:rsid w:val="00EF04B0"/>
    <w:rsid w:val="00EF0B2A"/>
    <w:rsid w:val="00EF152B"/>
    <w:rsid w:val="00EF2D61"/>
    <w:rsid w:val="00EF2D6A"/>
    <w:rsid w:val="00EF6ECA"/>
    <w:rsid w:val="00EF6F48"/>
    <w:rsid w:val="00F01BA0"/>
    <w:rsid w:val="00F02910"/>
    <w:rsid w:val="00F03017"/>
    <w:rsid w:val="00F0657A"/>
    <w:rsid w:val="00F0769E"/>
    <w:rsid w:val="00F0797A"/>
    <w:rsid w:val="00F10054"/>
    <w:rsid w:val="00F107D8"/>
    <w:rsid w:val="00F1085E"/>
    <w:rsid w:val="00F1150E"/>
    <w:rsid w:val="00F11F3F"/>
    <w:rsid w:val="00F1357E"/>
    <w:rsid w:val="00F13E50"/>
    <w:rsid w:val="00F15CC6"/>
    <w:rsid w:val="00F16663"/>
    <w:rsid w:val="00F17336"/>
    <w:rsid w:val="00F17BDB"/>
    <w:rsid w:val="00F2186D"/>
    <w:rsid w:val="00F21A7A"/>
    <w:rsid w:val="00F21B14"/>
    <w:rsid w:val="00F21EDB"/>
    <w:rsid w:val="00F22884"/>
    <w:rsid w:val="00F23B3F"/>
    <w:rsid w:val="00F23F75"/>
    <w:rsid w:val="00F25CCA"/>
    <w:rsid w:val="00F25E7A"/>
    <w:rsid w:val="00F26372"/>
    <w:rsid w:val="00F305BF"/>
    <w:rsid w:val="00F30B6F"/>
    <w:rsid w:val="00F318F7"/>
    <w:rsid w:val="00F31B98"/>
    <w:rsid w:val="00F31D44"/>
    <w:rsid w:val="00F32650"/>
    <w:rsid w:val="00F32CE6"/>
    <w:rsid w:val="00F33304"/>
    <w:rsid w:val="00F3384D"/>
    <w:rsid w:val="00F346F0"/>
    <w:rsid w:val="00F35388"/>
    <w:rsid w:val="00F36367"/>
    <w:rsid w:val="00F40B4C"/>
    <w:rsid w:val="00F42DF5"/>
    <w:rsid w:val="00F430C9"/>
    <w:rsid w:val="00F44150"/>
    <w:rsid w:val="00F44811"/>
    <w:rsid w:val="00F44F6F"/>
    <w:rsid w:val="00F45B05"/>
    <w:rsid w:val="00F52F5E"/>
    <w:rsid w:val="00F53377"/>
    <w:rsid w:val="00F53863"/>
    <w:rsid w:val="00F53F38"/>
    <w:rsid w:val="00F56F51"/>
    <w:rsid w:val="00F577B2"/>
    <w:rsid w:val="00F57D30"/>
    <w:rsid w:val="00F60A45"/>
    <w:rsid w:val="00F6164B"/>
    <w:rsid w:val="00F63233"/>
    <w:rsid w:val="00F659A8"/>
    <w:rsid w:val="00F66366"/>
    <w:rsid w:val="00F664D2"/>
    <w:rsid w:val="00F677D8"/>
    <w:rsid w:val="00F67ED6"/>
    <w:rsid w:val="00F713C2"/>
    <w:rsid w:val="00F71739"/>
    <w:rsid w:val="00F75C31"/>
    <w:rsid w:val="00F80735"/>
    <w:rsid w:val="00F807EE"/>
    <w:rsid w:val="00F80ADA"/>
    <w:rsid w:val="00F825E0"/>
    <w:rsid w:val="00F83374"/>
    <w:rsid w:val="00F83AB6"/>
    <w:rsid w:val="00F83FC5"/>
    <w:rsid w:val="00F84409"/>
    <w:rsid w:val="00F86C85"/>
    <w:rsid w:val="00F86D33"/>
    <w:rsid w:val="00F87D0D"/>
    <w:rsid w:val="00F91017"/>
    <w:rsid w:val="00F945A0"/>
    <w:rsid w:val="00F9573F"/>
    <w:rsid w:val="00F95C92"/>
    <w:rsid w:val="00F966B3"/>
    <w:rsid w:val="00F96E2A"/>
    <w:rsid w:val="00FA06CA"/>
    <w:rsid w:val="00FA2887"/>
    <w:rsid w:val="00FA2AED"/>
    <w:rsid w:val="00FA40DF"/>
    <w:rsid w:val="00FA5EFA"/>
    <w:rsid w:val="00FA6412"/>
    <w:rsid w:val="00FA6614"/>
    <w:rsid w:val="00FA71FE"/>
    <w:rsid w:val="00FA73BB"/>
    <w:rsid w:val="00FA7E99"/>
    <w:rsid w:val="00FB0F75"/>
    <w:rsid w:val="00FB19E4"/>
    <w:rsid w:val="00FB2888"/>
    <w:rsid w:val="00FB2F5B"/>
    <w:rsid w:val="00FB36EE"/>
    <w:rsid w:val="00FB3BCE"/>
    <w:rsid w:val="00FB421C"/>
    <w:rsid w:val="00FB54BF"/>
    <w:rsid w:val="00FB565B"/>
    <w:rsid w:val="00FB6B67"/>
    <w:rsid w:val="00FB7418"/>
    <w:rsid w:val="00FC1F1B"/>
    <w:rsid w:val="00FC38DA"/>
    <w:rsid w:val="00FC6C04"/>
    <w:rsid w:val="00FC7BF6"/>
    <w:rsid w:val="00FD0271"/>
    <w:rsid w:val="00FD05BF"/>
    <w:rsid w:val="00FD113C"/>
    <w:rsid w:val="00FD2635"/>
    <w:rsid w:val="00FD58B2"/>
    <w:rsid w:val="00FD6634"/>
    <w:rsid w:val="00FD73E7"/>
    <w:rsid w:val="00FD75EF"/>
    <w:rsid w:val="00FD7A97"/>
    <w:rsid w:val="00FD7B80"/>
    <w:rsid w:val="00FE3496"/>
    <w:rsid w:val="00FE4348"/>
    <w:rsid w:val="00FE4751"/>
    <w:rsid w:val="00FE595C"/>
    <w:rsid w:val="00FE5CA5"/>
    <w:rsid w:val="00FE6856"/>
    <w:rsid w:val="00FE6BAD"/>
    <w:rsid w:val="00FE7EDC"/>
    <w:rsid w:val="00FF252A"/>
    <w:rsid w:val="00FF40A2"/>
    <w:rsid w:val="00FF4982"/>
    <w:rsid w:val="00FF68A6"/>
    <w:rsid w:val="00FF7C3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72CB11C"/>
  <w15:docId w15:val="{0DEFE994-E049-450F-80D8-3EF9B27F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u w:val="single"/>
    </w:rPr>
  </w:style>
  <w:style w:type="paragraph" w:styleId="Nadpis2">
    <w:name w:val="heading 2"/>
    <w:basedOn w:val="Normln"/>
    <w:next w:val="Normln"/>
    <w:link w:val="Nadpis2Char"/>
    <w:qFormat/>
    <w:pPr>
      <w:keepNext/>
      <w:jc w:val="both"/>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style>
  <w:style w:type="paragraph" w:styleId="Zkladntextodsazen">
    <w:name w:val="Body Text Indent"/>
    <w:basedOn w:val="Normln"/>
    <w:pPr>
      <w:spacing w:after="120"/>
      <w:ind w:left="283"/>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2">
    <w:name w:val="Body Text Indent 2"/>
    <w:basedOn w:val="Normln"/>
    <w:pPr>
      <w:ind w:left="360"/>
      <w:jc w:val="both"/>
    </w:pPr>
  </w:style>
  <w:style w:type="paragraph" w:styleId="Textbubliny">
    <w:name w:val="Balloon Text"/>
    <w:basedOn w:val="Normln"/>
    <w:semiHidden/>
    <w:rsid w:val="002F0EDA"/>
    <w:rPr>
      <w:rFonts w:ascii="Tahoma" w:hAnsi="Tahoma" w:cs="Tahoma"/>
      <w:sz w:val="16"/>
      <w:szCs w:val="16"/>
    </w:rPr>
  </w:style>
  <w:style w:type="character" w:customStyle="1" w:styleId="ZhlavChar">
    <w:name w:val="Záhlaví Char"/>
    <w:link w:val="Zhlav"/>
    <w:rsid w:val="007F2590"/>
    <w:rPr>
      <w:sz w:val="24"/>
      <w:szCs w:val="24"/>
      <w:lang w:val="cs-CZ" w:eastAsia="cs-CZ" w:bidi="ar-SA"/>
    </w:rPr>
  </w:style>
  <w:style w:type="paragraph" w:styleId="Odstavecseseznamem">
    <w:name w:val="List Paragraph"/>
    <w:aliases w:val="Nad,Odstavec_muj,Název grafu,nad 1"/>
    <w:basedOn w:val="Normln"/>
    <w:link w:val="OdstavecseseznamemChar"/>
    <w:uiPriority w:val="34"/>
    <w:qFormat/>
    <w:rsid w:val="00B47765"/>
    <w:pPr>
      <w:ind w:left="720"/>
    </w:pPr>
    <w:rPr>
      <w:rFonts w:eastAsia="Calibri"/>
    </w:rPr>
  </w:style>
  <w:style w:type="character" w:customStyle="1" w:styleId="Nadpis2Char">
    <w:name w:val="Nadpis 2 Char"/>
    <w:link w:val="Nadpis2"/>
    <w:rsid w:val="006C175F"/>
    <w:rPr>
      <w:b/>
      <w:bCs/>
      <w:sz w:val="24"/>
      <w:szCs w:val="24"/>
      <w:lang w:val="cs-CZ" w:eastAsia="cs-CZ" w:bidi="ar-SA"/>
    </w:rPr>
  </w:style>
  <w:style w:type="character" w:styleId="Odkaznakoment">
    <w:name w:val="annotation reference"/>
    <w:semiHidden/>
    <w:rsid w:val="006C175F"/>
    <w:rPr>
      <w:sz w:val="16"/>
      <w:szCs w:val="16"/>
    </w:rPr>
  </w:style>
  <w:style w:type="paragraph" w:styleId="Textkomente">
    <w:name w:val="annotation text"/>
    <w:basedOn w:val="Normln"/>
    <w:semiHidden/>
    <w:rsid w:val="006C175F"/>
    <w:rPr>
      <w:sz w:val="20"/>
      <w:szCs w:val="20"/>
    </w:rPr>
  </w:style>
  <w:style w:type="paragraph" w:styleId="Pedmtkomente">
    <w:name w:val="annotation subject"/>
    <w:basedOn w:val="Textkomente"/>
    <w:next w:val="Textkomente"/>
    <w:semiHidden/>
    <w:rsid w:val="006C175F"/>
    <w:rPr>
      <w:b/>
      <w:bCs/>
    </w:rPr>
  </w:style>
  <w:style w:type="paragraph" w:styleId="Revize">
    <w:name w:val="Revision"/>
    <w:hidden/>
    <w:uiPriority w:val="99"/>
    <w:semiHidden/>
    <w:rsid w:val="0076312F"/>
    <w:rPr>
      <w:sz w:val="24"/>
      <w:szCs w:val="24"/>
    </w:rPr>
  </w:style>
  <w:style w:type="character" w:customStyle="1" w:styleId="ZpatChar">
    <w:name w:val="Zápatí Char"/>
    <w:basedOn w:val="Standardnpsmoodstavce"/>
    <w:link w:val="Zpat"/>
    <w:uiPriority w:val="99"/>
    <w:rsid w:val="00176060"/>
    <w:rPr>
      <w:sz w:val="24"/>
      <w:szCs w:val="24"/>
    </w:rPr>
  </w:style>
  <w:style w:type="character" w:customStyle="1" w:styleId="ZkladntextChar">
    <w:name w:val="Základní text Char"/>
    <w:basedOn w:val="Standardnpsmoodstavce"/>
    <w:link w:val="Zkladntext"/>
    <w:rsid w:val="004F6E52"/>
    <w:rPr>
      <w:sz w:val="24"/>
      <w:szCs w:val="24"/>
    </w:rPr>
  </w:style>
  <w:style w:type="character" w:styleId="Hypertextovodkaz">
    <w:name w:val="Hyperlink"/>
    <w:rsid w:val="00631068"/>
    <w:rPr>
      <w:color w:val="0000FF"/>
      <w:u w:val="single"/>
    </w:rPr>
  </w:style>
  <w:style w:type="character" w:styleId="Sledovanodkaz">
    <w:name w:val="FollowedHyperlink"/>
    <w:basedOn w:val="Standardnpsmoodstavce"/>
    <w:rsid w:val="00006AC6"/>
    <w:rPr>
      <w:color w:val="800080" w:themeColor="followedHyperlink"/>
      <w:u w:val="single"/>
    </w:rPr>
  </w:style>
  <w:style w:type="paragraph" w:styleId="Prosttext">
    <w:name w:val="Plain Text"/>
    <w:basedOn w:val="Normln"/>
    <w:link w:val="ProsttextChar"/>
    <w:uiPriority w:val="99"/>
    <w:unhideWhenUsed/>
    <w:rsid w:val="0096632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96632A"/>
    <w:rPr>
      <w:rFonts w:ascii="Calibri" w:eastAsiaTheme="minorHAnsi" w:hAnsi="Calibri" w:cstheme="minorBidi"/>
      <w:sz w:val="22"/>
      <w:szCs w:val="21"/>
      <w:lang w:eastAsia="en-US"/>
    </w:rPr>
  </w:style>
  <w:style w:type="character" w:customStyle="1" w:styleId="OdstavecseseznamemChar">
    <w:name w:val="Odstavec se seznamem Char"/>
    <w:aliases w:val="Nad Char,Odstavec_muj Char,Název grafu Char,nad 1 Char"/>
    <w:basedOn w:val="Standardnpsmoodstavce"/>
    <w:link w:val="Odstavecseseznamem"/>
    <w:uiPriority w:val="34"/>
    <w:locked/>
    <w:rsid w:val="00B4256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6619">
      <w:bodyDiv w:val="1"/>
      <w:marLeft w:val="0"/>
      <w:marRight w:val="0"/>
      <w:marTop w:val="0"/>
      <w:marBottom w:val="0"/>
      <w:divBdr>
        <w:top w:val="none" w:sz="0" w:space="0" w:color="auto"/>
        <w:left w:val="none" w:sz="0" w:space="0" w:color="auto"/>
        <w:bottom w:val="none" w:sz="0" w:space="0" w:color="auto"/>
        <w:right w:val="none" w:sz="0" w:space="0" w:color="auto"/>
      </w:divBdr>
    </w:div>
    <w:div w:id="191845153">
      <w:bodyDiv w:val="1"/>
      <w:marLeft w:val="0"/>
      <w:marRight w:val="0"/>
      <w:marTop w:val="0"/>
      <w:marBottom w:val="0"/>
      <w:divBdr>
        <w:top w:val="none" w:sz="0" w:space="0" w:color="auto"/>
        <w:left w:val="none" w:sz="0" w:space="0" w:color="auto"/>
        <w:bottom w:val="none" w:sz="0" w:space="0" w:color="auto"/>
        <w:right w:val="none" w:sz="0" w:space="0" w:color="auto"/>
      </w:divBdr>
    </w:div>
    <w:div w:id="256789562">
      <w:bodyDiv w:val="1"/>
      <w:marLeft w:val="0"/>
      <w:marRight w:val="0"/>
      <w:marTop w:val="0"/>
      <w:marBottom w:val="0"/>
      <w:divBdr>
        <w:top w:val="none" w:sz="0" w:space="0" w:color="auto"/>
        <w:left w:val="none" w:sz="0" w:space="0" w:color="auto"/>
        <w:bottom w:val="none" w:sz="0" w:space="0" w:color="auto"/>
        <w:right w:val="none" w:sz="0" w:space="0" w:color="auto"/>
      </w:divBdr>
    </w:div>
    <w:div w:id="593170507">
      <w:bodyDiv w:val="1"/>
      <w:marLeft w:val="0"/>
      <w:marRight w:val="0"/>
      <w:marTop w:val="0"/>
      <w:marBottom w:val="0"/>
      <w:divBdr>
        <w:top w:val="none" w:sz="0" w:space="0" w:color="auto"/>
        <w:left w:val="none" w:sz="0" w:space="0" w:color="auto"/>
        <w:bottom w:val="none" w:sz="0" w:space="0" w:color="auto"/>
        <w:right w:val="none" w:sz="0" w:space="0" w:color="auto"/>
      </w:divBdr>
    </w:div>
    <w:div w:id="836728765">
      <w:bodyDiv w:val="1"/>
      <w:marLeft w:val="0"/>
      <w:marRight w:val="0"/>
      <w:marTop w:val="0"/>
      <w:marBottom w:val="0"/>
      <w:divBdr>
        <w:top w:val="none" w:sz="0" w:space="0" w:color="auto"/>
        <w:left w:val="none" w:sz="0" w:space="0" w:color="auto"/>
        <w:bottom w:val="none" w:sz="0" w:space="0" w:color="auto"/>
        <w:right w:val="none" w:sz="0" w:space="0" w:color="auto"/>
      </w:divBdr>
    </w:div>
    <w:div w:id="868487648">
      <w:bodyDiv w:val="1"/>
      <w:marLeft w:val="0"/>
      <w:marRight w:val="0"/>
      <w:marTop w:val="0"/>
      <w:marBottom w:val="0"/>
      <w:divBdr>
        <w:top w:val="none" w:sz="0" w:space="0" w:color="auto"/>
        <w:left w:val="none" w:sz="0" w:space="0" w:color="auto"/>
        <w:bottom w:val="none" w:sz="0" w:space="0" w:color="auto"/>
        <w:right w:val="none" w:sz="0" w:space="0" w:color="auto"/>
      </w:divBdr>
      <w:divsChild>
        <w:div w:id="1587566910">
          <w:marLeft w:val="0"/>
          <w:marRight w:val="0"/>
          <w:marTop w:val="0"/>
          <w:marBottom w:val="0"/>
          <w:divBdr>
            <w:top w:val="none" w:sz="0" w:space="0" w:color="auto"/>
            <w:left w:val="none" w:sz="0" w:space="0" w:color="auto"/>
            <w:bottom w:val="none" w:sz="0" w:space="0" w:color="auto"/>
            <w:right w:val="none" w:sz="0" w:space="0" w:color="auto"/>
          </w:divBdr>
        </w:div>
      </w:divsChild>
    </w:div>
    <w:div w:id="919215345">
      <w:bodyDiv w:val="1"/>
      <w:marLeft w:val="0"/>
      <w:marRight w:val="0"/>
      <w:marTop w:val="0"/>
      <w:marBottom w:val="0"/>
      <w:divBdr>
        <w:top w:val="none" w:sz="0" w:space="0" w:color="auto"/>
        <w:left w:val="none" w:sz="0" w:space="0" w:color="auto"/>
        <w:bottom w:val="none" w:sz="0" w:space="0" w:color="auto"/>
        <w:right w:val="none" w:sz="0" w:space="0" w:color="auto"/>
      </w:divBdr>
      <w:divsChild>
        <w:div w:id="449403274">
          <w:marLeft w:val="0"/>
          <w:marRight w:val="0"/>
          <w:marTop w:val="0"/>
          <w:marBottom w:val="0"/>
          <w:divBdr>
            <w:top w:val="none" w:sz="0" w:space="0" w:color="auto"/>
            <w:left w:val="none" w:sz="0" w:space="0" w:color="auto"/>
            <w:bottom w:val="none" w:sz="0" w:space="0" w:color="auto"/>
            <w:right w:val="none" w:sz="0" w:space="0" w:color="auto"/>
          </w:divBdr>
          <w:divsChild>
            <w:div w:id="483083958">
              <w:marLeft w:val="0"/>
              <w:marRight w:val="0"/>
              <w:marTop w:val="0"/>
              <w:marBottom w:val="0"/>
              <w:divBdr>
                <w:top w:val="none" w:sz="0" w:space="0" w:color="auto"/>
                <w:left w:val="none" w:sz="0" w:space="0" w:color="auto"/>
                <w:bottom w:val="none" w:sz="0" w:space="0" w:color="auto"/>
                <w:right w:val="none" w:sz="0" w:space="0" w:color="auto"/>
              </w:divBdr>
            </w:div>
            <w:div w:id="928538381">
              <w:marLeft w:val="0"/>
              <w:marRight w:val="0"/>
              <w:marTop w:val="0"/>
              <w:marBottom w:val="0"/>
              <w:divBdr>
                <w:top w:val="none" w:sz="0" w:space="0" w:color="auto"/>
                <w:left w:val="none" w:sz="0" w:space="0" w:color="auto"/>
                <w:bottom w:val="none" w:sz="0" w:space="0" w:color="auto"/>
                <w:right w:val="none" w:sz="0" w:space="0" w:color="auto"/>
              </w:divBdr>
            </w:div>
            <w:div w:id="1057507220">
              <w:marLeft w:val="0"/>
              <w:marRight w:val="0"/>
              <w:marTop w:val="0"/>
              <w:marBottom w:val="0"/>
              <w:divBdr>
                <w:top w:val="none" w:sz="0" w:space="0" w:color="auto"/>
                <w:left w:val="none" w:sz="0" w:space="0" w:color="auto"/>
                <w:bottom w:val="none" w:sz="0" w:space="0" w:color="auto"/>
                <w:right w:val="none" w:sz="0" w:space="0" w:color="auto"/>
              </w:divBdr>
            </w:div>
            <w:div w:id="1898197756">
              <w:marLeft w:val="0"/>
              <w:marRight w:val="0"/>
              <w:marTop w:val="0"/>
              <w:marBottom w:val="0"/>
              <w:divBdr>
                <w:top w:val="none" w:sz="0" w:space="0" w:color="auto"/>
                <w:left w:val="none" w:sz="0" w:space="0" w:color="auto"/>
                <w:bottom w:val="none" w:sz="0" w:space="0" w:color="auto"/>
                <w:right w:val="none" w:sz="0" w:space="0" w:color="auto"/>
              </w:divBdr>
            </w:div>
            <w:div w:id="20958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6719">
      <w:bodyDiv w:val="1"/>
      <w:marLeft w:val="0"/>
      <w:marRight w:val="0"/>
      <w:marTop w:val="0"/>
      <w:marBottom w:val="0"/>
      <w:divBdr>
        <w:top w:val="none" w:sz="0" w:space="0" w:color="auto"/>
        <w:left w:val="none" w:sz="0" w:space="0" w:color="auto"/>
        <w:bottom w:val="none" w:sz="0" w:space="0" w:color="auto"/>
        <w:right w:val="none" w:sz="0" w:space="0" w:color="auto"/>
      </w:divBdr>
    </w:div>
    <w:div w:id="1155997577">
      <w:bodyDiv w:val="1"/>
      <w:marLeft w:val="0"/>
      <w:marRight w:val="0"/>
      <w:marTop w:val="0"/>
      <w:marBottom w:val="0"/>
      <w:divBdr>
        <w:top w:val="none" w:sz="0" w:space="0" w:color="auto"/>
        <w:left w:val="none" w:sz="0" w:space="0" w:color="auto"/>
        <w:bottom w:val="none" w:sz="0" w:space="0" w:color="auto"/>
        <w:right w:val="none" w:sz="0" w:space="0" w:color="auto"/>
      </w:divBdr>
      <w:divsChild>
        <w:div w:id="665862290">
          <w:marLeft w:val="0"/>
          <w:marRight w:val="0"/>
          <w:marTop w:val="0"/>
          <w:marBottom w:val="0"/>
          <w:divBdr>
            <w:top w:val="none" w:sz="0" w:space="0" w:color="auto"/>
            <w:left w:val="none" w:sz="0" w:space="0" w:color="auto"/>
            <w:bottom w:val="none" w:sz="0" w:space="0" w:color="auto"/>
            <w:right w:val="none" w:sz="0" w:space="0" w:color="auto"/>
          </w:divBdr>
        </w:div>
      </w:divsChild>
    </w:div>
    <w:div w:id="1293557351">
      <w:bodyDiv w:val="1"/>
      <w:marLeft w:val="0"/>
      <w:marRight w:val="0"/>
      <w:marTop w:val="0"/>
      <w:marBottom w:val="0"/>
      <w:divBdr>
        <w:top w:val="none" w:sz="0" w:space="0" w:color="auto"/>
        <w:left w:val="none" w:sz="0" w:space="0" w:color="auto"/>
        <w:bottom w:val="none" w:sz="0" w:space="0" w:color="auto"/>
        <w:right w:val="none" w:sz="0" w:space="0" w:color="auto"/>
      </w:divBdr>
    </w:div>
    <w:div w:id="1717315428">
      <w:bodyDiv w:val="1"/>
      <w:marLeft w:val="0"/>
      <w:marRight w:val="0"/>
      <w:marTop w:val="0"/>
      <w:marBottom w:val="0"/>
      <w:divBdr>
        <w:top w:val="none" w:sz="0" w:space="0" w:color="auto"/>
        <w:left w:val="none" w:sz="0" w:space="0" w:color="auto"/>
        <w:bottom w:val="none" w:sz="0" w:space="0" w:color="auto"/>
        <w:right w:val="none" w:sz="0" w:space="0" w:color="auto"/>
      </w:divBdr>
    </w:div>
    <w:div w:id="1726027559">
      <w:bodyDiv w:val="1"/>
      <w:marLeft w:val="0"/>
      <w:marRight w:val="0"/>
      <w:marTop w:val="0"/>
      <w:marBottom w:val="0"/>
      <w:divBdr>
        <w:top w:val="none" w:sz="0" w:space="0" w:color="auto"/>
        <w:left w:val="none" w:sz="0" w:space="0" w:color="auto"/>
        <w:bottom w:val="none" w:sz="0" w:space="0" w:color="auto"/>
        <w:right w:val="none" w:sz="0" w:space="0" w:color="auto"/>
      </w:divBdr>
    </w:div>
    <w:div w:id="1825051036">
      <w:bodyDiv w:val="1"/>
      <w:marLeft w:val="0"/>
      <w:marRight w:val="0"/>
      <w:marTop w:val="0"/>
      <w:marBottom w:val="0"/>
      <w:divBdr>
        <w:top w:val="none" w:sz="0" w:space="0" w:color="auto"/>
        <w:left w:val="none" w:sz="0" w:space="0" w:color="auto"/>
        <w:bottom w:val="none" w:sz="0" w:space="0" w:color="auto"/>
        <w:right w:val="none" w:sz="0" w:space="0" w:color="auto"/>
      </w:divBdr>
    </w:div>
    <w:div w:id="19981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1049-3174-4FCF-98CD-1D15FA3D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3395</Words>
  <Characters>20032</Characters>
  <Application>Microsoft Office Word</Application>
  <DocSecurity>0</DocSecurity>
  <Lines>166</Lines>
  <Paragraphs>46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Důvodová zpráva :</vt:lpstr>
      <vt:lpstr>Důvodová zpráva :</vt:lpstr>
    </vt:vector>
  </TitlesOfParts>
  <Company>MMO</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 :</dc:title>
  <dc:creator>oer26</dc:creator>
  <cp:lastModifiedBy>Ondrová Kateřina</cp:lastModifiedBy>
  <cp:revision>2</cp:revision>
  <cp:lastPrinted>2019-08-05T13:16:00Z</cp:lastPrinted>
  <dcterms:created xsi:type="dcterms:W3CDTF">2019-09-03T10:34:00Z</dcterms:created>
  <dcterms:modified xsi:type="dcterms:W3CDTF">2019-09-03T10:34:00Z</dcterms:modified>
</cp:coreProperties>
</file>