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AB8F" w14:textId="77777777" w:rsidR="004C4947" w:rsidRPr="00936D2E" w:rsidRDefault="004C4947" w:rsidP="004C4947">
      <w:pPr>
        <w:pStyle w:val="Zkladntext"/>
        <w:jc w:val="both"/>
        <w:rPr>
          <w:rFonts w:ascii="Times New Roman" w:hAnsi="Times New Roman"/>
          <w:b/>
          <w:sz w:val="36"/>
          <w:szCs w:val="36"/>
        </w:rPr>
      </w:pPr>
      <w:r w:rsidRPr="00936D2E">
        <w:rPr>
          <w:rFonts w:ascii="Times New Roman" w:hAnsi="Times New Roman"/>
          <w:b/>
          <w:sz w:val="36"/>
          <w:szCs w:val="36"/>
        </w:rPr>
        <w:t>Důvodová zpráva</w:t>
      </w:r>
    </w:p>
    <w:p w14:paraId="73D645E5" w14:textId="77777777" w:rsidR="004C4947" w:rsidRPr="00936D2E" w:rsidRDefault="004C4947" w:rsidP="004C4947">
      <w:pPr>
        <w:jc w:val="both"/>
        <w:rPr>
          <w:sz w:val="22"/>
          <w:szCs w:val="22"/>
        </w:rPr>
      </w:pPr>
    </w:p>
    <w:p w14:paraId="3AEEBF6C" w14:textId="6142DCE1" w:rsidR="004C4947" w:rsidRDefault="004C4947" w:rsidP="00263AF6">
      <w:pPr>
        <w:pStyle w:val="Nzev"/>
        <w:jc w:val="both"/>
        <w:rPr>
          <w:sz w:val="24"/>
          <w:szCs w:val="24"/>
        </w:rPr>
      </w:pPr>
      <w:r w:rsidRPr="00B4421D">
        <w:rPr>
          <w:sz w:val="24"/>
          <w:szCs w:val="24"/>
        </w:rPr>
        <w:t>Předmětem uvedeného materiálu</w:t>
      </w:r>
      <w:r w:rsidR="00263AF6" w:rsidRPr="00B4421D">
        <w:rPr>
          <w:sz w:val="24"/>
          <w:szCs w:val="24"/>
        </w:rPr>
        <w:t xml:space="preserve"> je </w:t>
      </w:r>
      <w:r w:rsidR="001607AA">
        <w:rPr>
          <w:sz w:val="24"/>
          <w:szCs w:val="24"/>
        </w:rPr>
        <w:t>odmítnutí návrhu</w:t>
      </w:r>
      <w:r w:rsidR="001607AA" w:rsidRPr="00B4421D">
        <w:rPr>
          <w:sz w:val="24"/>
          <w:szCs w:val="24"/>
        </w:rPr>
        <w:t xml:space="preserve"> </w:t>
      </w:r>
      <w:r w:rsidR="00B4421D" w:rsidRPr="00B4421D">
        <w:rPr>
          <w:sz w:val="24"/>
          <w:szCs w:val="24"/>
        </w:rPr>
        <w:t>společnosti Lumius, spol. s</w:t>
      </w:r>
      <w:r w:rsidR="00146BE0">
        <w:rPr>
          <w:sz w:val="24"/>
          <w:szCs w:val="24"/>
        </w:rPr>
        <w:t xml:space="preserve"> </w:t>
      </w:r>
      <w:r w:rsidR="00B4421D" w:rsidRPr="00B4421D">
        <w:rPr>
          <w:sz w:val="24"/>
          <w:szCs w:val="24"/>
        </w:rPr>
        <w:t>r.o.</w:t>
      </w:r>
      <w:r w:rsidR="00B4421D" w:rsidRPr="00B4421D">
        <w:t xml:space="preserve"> </w:t>
      </w:r>
      <w:r w:rsidR="00B4421D" w:rsidRPr="00B4421D">
        <w:rPr>
          <w:sz w:val="24"/>
          <w:szCs w:val="24"/>
        </w:rPr>
        <w:t>(dále jen „společnost“) na uzavření dohody o narovnání, kdy společnost je</w:t>
      </w:r>
      <w:r w:rsidR="00263AF6" w:rsidRPr="00B4421D">
        <w:rPr>
          <w:sz w:val="24"/>
          <w:szCs w:val="24"/>
        </w:rPr>
        <w:t xml:space="preserve"> býval</w:t>
      </w:r>
      <w:r w:rsidR="00B4421D" w:rsidRPr="00B4421D">
        <w:rPr>
          <w:sz w:val="24"/>
          <w:szCs w:val="24"/>
        </w:rPr>
        <w:t>ým</w:t>
      </w:r>
      <w:r w:rsidR="00263AF6" w:rsidRPr="00B4421D">
        <w:rPr>
          <w:sz w:val="24"/>
          <w:szCs w:val="24"/>
        </w:rPr>
        <w:t xml:space="preserve"> dodavatele</w:t>
      </w:r>
      <w:r w:rsidR="00B4421D" w:rsidRPr="00B4421D">
        <w:rPr>
          <w:sz w:val="24"/>
          <w:szCs w:val="24"/>
        </w:rPr>
        <w:t>m</w:t>
      </w:r>
      <w:r w:rsidR="00263AF6" w:rsidRPr="00B4421D">
        <w:rPr>
          <w:sz w:val="24"/>
          <w:szCs w:val="24"/>
        </w:rPr>
        <w:t xml:space="preserve"> elektrické energie </w:t>
      </w:r>
      <w:r w:rsidR="00B4421D" w:rsidRPr="00B4421D">
        <w:rPr>
          <w:sz w:val="24"/>
          <w:szCs w:val="24"/>
        </w:rPr>
        <w:t>pro statutární město Ostrava a další subjekty.</w:t>
      </w:r>
      <w:r w:rsidR="00B4421D">
        <w:rPr>
          <w:sz w:val="24"/>
          <w:szCs w:val="24"/>
        </w:rPr>
        <w:t xml:space="preserve"> D</w:t>
      </w:r>
      <w:r w:rsidR="00B4421D" w:rsidRPr="00B4421D">
        <w:rPr>
          <w:sz w:val="24"/>
          <w:szCs w:val="24"/>
        </w:rPr>
        <w:t xml:space="preserve">ne 11. 1. 2022 byla ze strany </w:t>
      </w:r>
      <w:r w:rsidR="00B4421D">
        <w:rPr>
          <w:sz w:val="24"/>
          <w:szCs w:val="24"/>
        </w:rPr>
        <w:t>společnosti</w:t>
      </w:r>
      <w:r w:rsidR="00B4421D" w:rsidRPr="00B4421D">
        <w:rPr>
          <w:sz w:val="24"/>
          <w:szCs w:val="24"/>
        </w:rPr>
        <w:t xml:space="preserve"> z důvodu nemožnosti plnění ukončena dodávka elektřiny do odběrných míst </w:t>
      </w:r>
      <w:r w:rsidR="00B4421D">
        <w:rPr>
          <w:sz w:val="24"/>
          <w:szCs w:val="24"/>
        </w:rPr>
        <w:t>města</w:t>
      </w:r>
      <w:r w:rsidR="00B4421D" w:rsidRPr="00B4421D">
        <w:rPr>
          <w:sz w:val="24"/>
          <w:szCs w:val="24"/>
        </w:rPr>
        <w:t xml:space="preserve"> dle </w:t>
      </w:r>
      <w:r w:rsidR="00B4421D">
        <w:rPr>
          <w:sz w:val="24"/>
          <w:szCs w:val="24"/>
        </w:rPr>
        <w:t>uzavřené smlouvy</w:t>
      </w:r>
      <w:r w:rsidR="00B4421D" w:rsidRPr="00B4421D">
        <w:rPr>
          <w:sz w:val="24"/>
          <w:szCs w:val="24"/>
        </w:rPr>
        <w:t>.</w:t>
      </w:r>
    </w:p>
    <w:p w14:paraId="4B75CB59" w14:textId="0106E1B0" w:rsidR="00B4421D" w:rsidRDefault="00B4421D" w:rsidP="00263AF6">
      <w:pPr>
        <w:pStyle w:val="Nzev"/>
        <w:jc w:val="both"/>
        <w:rPr>
          <w:sz w:val="24"/>
          <w:szCs w:val="24"/>
        </w:rPr>
      </w:pPr>
    </w:p>
    <w:p w14:paraId="000CD3F0" w14:textId="259431CF" w:rsidR="00B4421D" w:rsidRPr="00B4421D" w:rsidRDefault="00B4421D" w:rsidP="00263AF6">
      <w:pPr>
        <w:pStyle w:val="Nzev"/>
        <w:jc w:val="both"/>
      </w:pPr>
      <w:r>
        <w:rPr>
          <w:sz w:val="24"/>
          <w:szCs w:val="24"/>
        </w:rPr>
        <w:t xml:space="preserve">Společnost nabízí městu jako kompenzaci za </w:t>
      </w:r>
      <w:r w:rsidR="00B26B2D">
        <w:rPr>
          <w:sz w:val="24"/>
          <w:szCs w:val="24"/>
        </w:rPr>
        <w:t xml:space="preserve">ukončení dodávek elektrické energie částku ve výši </w:t>
      </w:r>
      <w:r w:rsidR="00B26B2D" w:rsidRPr="00B26B2D">
        <w:rPr>
          <w:sz w:val="24"/>
          <w:szCs w:val="24"/>
        </w:rPr>
        <w:t>427</w:t>
      </w:r>
      <w:r w:rsidR="0081761D">
        <w:rPr>
          <w:sz w:val="24"/>
          <w:szCs w:val="24"/>
        </w:rPr>
        <w:t xml:space="preserve"> </w:t>
      </w:r>
      <w:r w:rsidR="00B26B2D" w:rsidRPr="00B26B2D">
        <w:rPr>
          <w:sz w:val="24"/>
          <w:szCs w:val="24"/>
        </w:rPr>
        <w:t>076,5</w:t>
      </w:r>
      <w:r w:rsidR="0081761D">
        <w:rPr>
          <w:sz w:val="24"/>
          <w:szCs w:val="24"/>
        </w:rPr>
        <w:t>0</w:t>
      </w:r>
      <w:r w:rsidR="00B26B2D" w:rsidRPr="00B26B2D">
        <w:rPr>
          <w:sz w:val="24"/>
          <w:szCs w:val="24"/>
        </w:rPr>
        <w:t xml:space="preserve"> Kč</w:t>
      </w:r>
      <w:r w:rsidR="00B26B2D">
        <w:rPr>
          <w:sz w:val="24"/>
          <w:szCs w:val="24"/>
        </w:rPr>
        <w:t>.</w:t>
      </w:r>
    </w:p>
    <w:p w14:paraId="74325F8F" w14:textId="77777777" w:rsidR="004C4947" w:rsidRPr="00936D2E" w:rsidRDefault="004C4947" w:rsidP="004C4947">
      <w:pPr>
        <w:jc w:val="both"/>
        <w:rPr>
          <w:bCs/>
        </w:rPr>
      </w:pPr>
    </w:p>
    <w:p w14:paraId="4B88DC2C" w14:textId="77777777" w:rsidR="004C4947" w:rsidRPr="00936D2E" w:rsidRDefault="004C4947" w:rsidP="004C4947">
      <w:pPr>
        <w:jc w:val="both"/>
        <w:rPr>
          <w:u w:val="single"/>
        </w:rPr>
      </w:pPr>
      <w:r w:rsidRPr="00936D2E">
        <w:rPr>
          <w:u w:val="single"/>
        </w:rPr>
        <w:t>Informace:</w:t>
      </w:r>
    </w:p>
    <w:p w14:paraId="790EC19B" w14:textId="05401B2B" w:rsidR="00F80ADC" w:rsidRPr="00936D2E" w:rsidRDefault="00F80ADC" w:rsidP="00F80ADC">
      <w:pPr>
        <w:jc w:val="both"/>
      </w:pPr>
      <w:r w:rsidRPr="00936D2E">
        <w:rPr>
          <w:rFonts w:eastAsia="Calibri"/>
        </w:rPr>
        <w:t xml:space="preserve">Statutární město Ostrava (dále jen „SMO“ nebo „zákazník“) </w:t>
      </w:r>
      <w:r w:rsidRPr="00936D2E">
        <w:t xml:space="preserve">na straně zákazníka, uzavřelo se společností smlouvu o sdružených službách dodávky elektrické energie ze sítí VN ev. č. E017321030 (dále jen „smlouva“). </w:t>
      </w:r>
    </w:p>
    <w:p w14:paraId="4626453A" w14:textId="77777777" w:rsidR="00F80ADC" w:rsidRPr="00936D2E" w:rsidRDefault="00F80ADC" w:rsidP="00F80ADC">
      <w:pPr>
        <w:jc w:val="both"/>
      </w:pPr>
    </w:p>
    <w:p w14:paraId="453AADE4" w14:textId="594584C3" w:rsidR="00F80ADC" w:rsidRPr="00936D2E" w:rsidRDefault="00F80ADC" w:rsidP="00F80ADC">
      <w:pPr>
        <w:pStyle w:val="Default"/>
        <w:jc w:val="both"/>
        <w:rPr>
          <w:rFonts w:ascii="Times New Roman" w:hAnsi="Times New Roman" w:cs="Times New Roman"/>
          <w:color w:val="auto"/>
        </w:rPr>
      </w:pPr>
      <w:r w:rsidRPr="00936D2E">
        <w:rPr>
          <w:rFonts w:ascii="Times New Roman" w:hAnsi="Times New Roman" w:cs="Times New Roman"/>
          <w:color w:val="auto"/>
        </w:rPr>
        <w:t xml:space="preserve">Předmětem smlouvy byl závazek </w:t>
      </w:r>
      <w:r w:rsidR="00933791" w:rsidRPr="00936D2E">
        <w:rPr>
          <w:rFonts w:ascii="Times New Roman" w:hAnsi="Times New Roman" w:cs="Times New Roman"/>
          <w:color w:val="auto"/>
        </w:rPr>
        <w:t>společnosti</w:t>
      </w:r>
      <w:r w:rsidRPr="00936D2E">
        <w:rPr>
          <w:rFonts w:ascii="Times New Roman" w:hAnsi="Times New Roman" w:cs="Times New Roman"/>
          <w:color w:val="auto"/>
        </w:rPr>
        <w:t xml:space="preserve"> poskytnout SMO sdružené služby dodávky elektřiny, tzn. dodat sjednané množství silové elektřiny za podmínek sjednaných ve smlouvě a převzít odpovědnost za odchylku a zajistit distribuci elektřiny a systémových služeb do odběrných míst zákazníka. Období dodávky bylo ve smlouvě sjednáno na dobu určitou, a to zahájení dodávky na 1.1.2022 00:00 hod a ukončení dodávky dne 31.</w:t>
      </w:r>
      <w:r w:rsidR="000413DA">
        <w:rPr>
          <w:rFonts w:ascii="Times New Roman" w:hAnsi="Times New Roman" w:cs="Times New Roman"/>
          <w:color w:val="auto"/>
        </w:rPr>
        <w:t xml:space="preserve"> </w:t>
      </w:r>
      <w:r w:rsidRPr="00936D2E">
        <w:rPr>
          <w:rFonts w:ascii="Times New Roman" w:hAnsi="Times New Roman" w:cs="Times New Roman"/>
          <w:color w:val="auto"/>
        </w:rPr>
        <w:t>12.</w:t>
      </w:r>
      <w:r w:rsidR="000413DA">
        <w:rPr>
          <w:rFonts w:ascii="Times New Roman" w:hAnsi="Times New Roman" w:cs="Times New Roman"/>
          <w:color w:val="auto"/>
        </w:rPr>
        <w:t xml:space="preserve"> </w:t>
      </w:r>
      <w:r w:rsidRPr="00936D2E">
        <w:rPr>
          <w:rFonts w:ascii="Times New Roman" w:hAnsi="Times New Roman" w:cs="Times New Roman"/>
          <w:color w:val="auto"/>
        </w:rPr>
        <w:t xml:space="preserve">2023 24:00 hod. Nedílnou součástí smlouvy </w:t>
      </w:r>
      <w:r w:rsidR="00933791" w:rsidRPr="00936D2E">
        <w:rPr>
          <w:rFonts w:ascii="Times New Roman" w:hAnsi="Times New Roman" w:cs="Times New Roman"/>
          <w:color w:val="auto"/>
        </w:rPr>
        <w:t>byl</w:t>
      </w:r>
      <w:r w:rsidR="00263AF6">
        <w:rPr>
          <w:rFonts w:ascii="Times New Roman" w:hAnsi="Times New Roman" w:cs="Times New Roman"/>
          <w:color w:val="auto"/>
        </w:rPr>
        <w:t xml:space="preserve">y </w:t>
      </w:r>
      <w:r w:rsidRPr="00936D2E">
        <w:rPr>
          <w:rFonts w:ascii="Times New Roman" w:hAnsi="Times New Roman" w:cs="Times New Roman"/>
          <w:color w:val="auto"/>
        </w:rPr>
        <w:t xml:space="preserve">obchodní podmínky dodávky elektřiny ze sítí VN (dále jen „OPD“) upravující obchodní a technické podmínky dodávky elektřiny a zajištění distribuce elektřiny a systémových služeb. </w:t>
      </w:r>
    </w:p>
    <w:p w14:paraId="7B2D5F9A" w14:textId="16B9A2B0" w:rsidR="00F80ADC" w:rsidRPr="00936D2E" w:rsidRDefault="00F80ADC" w:rsidP="00F80ADC">
      <w:pPr>
        <w:pStyle w:val="Default"/>
        <w:jc w:val="both"/>
        <w:rPr>
          <w:rFonts w:ascii="Times New Roman" w:hAnsi="Times New Roman" w:cs="Times New Roman"/>
          <w:color w:val="auto"/>
        </w:rPr>
      </w:pPr>
    </w:p>
    <w:p w14:paraId="6AA30AA2" w14:textId="4E29DAE9" w:rsidR="00F80ADC" w:rsidRPr="00936D2E" w:rsidRDefault="00F80ADC" w:rsidP="00F80ADC">
      <w:pPr>
        <w:pStyle w:val="Default"/>
        <w:jc w:val="both"/>
        <w:rPr>
          <w:rFonts w:ascii="Times New Roman" w:hAnsi="Times New Roman" w:cs="Times New Roman"/>
          <w:color w:val="auto"/>
        </w:rPr>
      </w:pPr>
      <w:r w:rsidRPr="00936D2E">
        <w:rPr>
          <w:rFonts w:ascii="Times New Roman" w:hAnsi="Times New Roman" w:cs="Times New Roman"/>
          <w:color w:val="auto"/>
        </w:rPr>
        <w:t xml:space="preserve">Dne 11. 1. 2022 byla ze strany </w:t>
      </w:r>
      <w:r w:rsidR="00933791" w:rsidRPr="00936D2E">
        <w:rPr>
          <w:rFonts w:ascii="Times New Roman" w:hAnsi="Times New Roman" w:cs="Times New Roman"/>
          <w:color w:val="auto"/>
        </w:rPr>
        <w:t>společnosti</w:t>
      </w:r>
      <w:r w:rsidRPr="00936D2E">
        <w:rPr>
          <w:rFonts w:ascii="Times New Roman" w:hAnsi="Times New Roman" w:cs="Times New Roman"/>
          <w:color w:val="auto"/>
        </w:rPr>
        <w:t xml:space="preserve"> ukončena dodávka</w:t>
      </w:r>
      <w:r w:rsidR="003E20CB" w:rsidRPr="00936D2E">
        <w:rPr>
          <w:rFonts w:ascii="Times New Roman" w:hAnsi="Times New Roman" w:cs="Times New Roman"/>
          <w:color w:val="auto"/>
        </w:rPr>
        <w:t xml:space="preserve"> elektrické</w:t>
      </w:r>
      <w:r w:rsidRPr="00936D2E">
        <w:rPr>
          <w:rFonts w:ascii="Times New Roman" w:hAnsi="Times New Roman" w:cs="Times New Roman"/>
          <w:color w:val="auto"/>
        </w:rPr>
        <w:t xml:space="preserve"> </w:t>
      </w:r>
      <w:r w:rsidR="003E20CB" w:rsidRPr="00936D2E">
        <w:rPr>
          <w:rFonts w:ascii="Times New Roman" w:hAnsi="Times New Roman" w:cs="Times New Roman"/>
          <w:color w:val="auto"/>
        </w:rPr>
        <w:t xml:space="preserve">energie </w:t>
      </w:r>
      <w:r w:rsidRPr="00936D2E">
        <w:rPr>
          <w:rFonts w:ascii="Times New Roman" w:hAnsi="Times New Roman" w:cs="Times New Roman"/>
          <w:color w:val="auto"/>
        </w:rPr>
        <w:t>do odběrných míst SMO.</w:t>
      </w:r>
      <w:r w:rsidR="003E20CB" w:rsidRPr="00936D2E">
        <w:rPr>
          <w:rFonts w:ascii="Times New Roman" w:hAnsi="Times New Roman" w:cs="Times New Roman"/>
          <w:color w:val="auto"/>
        </w:rPr>
        <w:t xml:space="preserve"> Počínaje datem 12.</w:t>
      </w:r>
      <w:r w:rsidR="00AD31B8">
        <w:rPr>
          <w:rFonts w:ascii="Times New Roman" w:hAnsi="Times New Roman" w:cs="Times New Roman"/>
          <w:color w:val="auto"/>
        </w:rPr>
        <w:t xml:space="preserve"> </w:t>
      </w:r>
      <w:r w:rsidR="003E20CB" w:rsidRPr="00936D2E">
        <w:rPr>
          <w:rFonts w:ascii="Times New Roman" w:hAnsi="Times New Roman" w:cs="Times New Roman"/>
          <w:color w:val="auto"/>
        </w:rPr>
        <w:t>1</w:t>
      </w:r>
      <w:r w:rsidR="00AD31B8">
        <w:rPr>
          <w:rFonts w:ascii="Times New Roman" w:hAnsi="Times New Roman" w:cs="Times New Roman"/>
          <w:color w:val="auto"/>
        </w:rPr>
        <w:t>.</w:t>
      </w:r>
      <w:r w:rsidR="003E20CB" w:rsidRPr="00936D2E">
        <w:rPr>
          <w:rFonts w:ascii="Times New Roman" w:hAnsi="Times New Roman" w:cs="Times New Roman"/>
          <w:color w:val="auto"/>
        </w:rPr>
        <w:t xml:space="preserve"> 2022 byla elektrická energie SMO do odběrných dodávána dodavatelem poslední instance (dále jen „DPI“). SMO bylo </w:t>
      </w:r>
      <w:r w:rsidR="00933791" w:rsidRPr="00936D2E">
        <w:rPr>
          <w:rFonts w:ascii="Times New Roman" w:hAnsi="Times New Roman" w:cs="Times New Roman"/>
          <w:color w:val="auto"/>
        </w:rPr>
        <w:t>u</w:t>
      </w:r>
      <w:r w:rsidR="003E20CB" w:rsidRPr="00936D2E">
        <w:rPr>
          <w:rFonts w:ascii="Times New Roman" w:hAnsi="Times New Roman" w:cs="Times New Roman"/>
          <w:color w:val="auto"/>
        </w:rPr>
        <w:t xml:space="preserve"> DPI do 30.</w:t>
      </w:r>
      <w:r w:rsidR="00AD31B8">
        <w:rPr>
          <w:rFonts w:ascii="Times New Roman" w:hAnsi="Times New Roman" w:cs="Times New Roman"/>
          <w:color w:val="auto"/>
        </w:rPr>
        <w:t xml:space="preserve"> </w:t>
      </w:r>
      <w:r w:rsidR="003E20CB" w:rsidRPr="00936D2E">
        <w:rPr>
          <w:rFonts w:ascii="Times New Roman" w:hAnsi="Times New Roman" w:cs="Times New Roman"/>
          <w:color w:val="auto"/>
        </w:rPr>
        <w:t>4.</w:t>
      </w:r>
      <w:r w:rsidR="00AD31B8">
        <w:rPr>
          <w:rFonts w:ascii="Times New Roman" w:hAnsi="Times New Roman" w:cs="Times New Roman"/>
          <w:color w:val="auto"/>
        </w:rPr>
        <w:t xml:space="preserve"> </w:t>
      </w:r>
      <w:r w:rsidR="003E20CB" w:rsidRPr="00936D2E">
        <w:rPr>
          <w:rFonts w:ascii="Times New Roman" w:hAnsi="Times New Roman" w:cs="Times New Roman"/>
          <w:color w:val="auto"/>
        </w:rPr>
        <w:t xml:space="preserve">2022. </w:t>
      </w:r>
    </w:p>
    <w:p w14:paraId="5592F56C" w14:textId="01DE1AB6" w:rsidR="003E20CB" w:rsidRPr="00936D2E" w:rsidRDefault="003E20CB" w:rsidP="00F80ADC">
      <w:pPr>
        <w:pStyle w:val="Default"/>
        <w:jc w:val="both"/>
        <w:rPr>
          <w:rFonts w:ascii="Times New Roman" w:hAnsi="Times New Roman" w:cs="Times New Roman"/>
          <w:color w:val="auto"/>
        </w:rPr>
      </w:pPr>
    </w:p>
    <w:p w14:paraId="40B36FDD" w14:textId="41024BD9" w:rsidR="003E20CB" w:rsidRPr="00936D2E" w:rsidRDefault="003E20CB" w:rsidP="00F80ADC">
      <w:pPr>
        <w:pStyle w:val="Default"/>
        <w:jc w:val="both"/>
        <w:rPr>
          <w:rFonts w:ascii="Times New Roman" w:hAnsi="Times New Roman" w:cs="Times New Roman"/>
          <w:color w:val="auto"/>
        </w:rPr>
      </w:pPr>
      <w:r w:rsidRPr="00936D2E">
        <w:rPr>
          <w:rFonts w:ascii="Times New Roman" w:hAnsi="Times New Roman" w:cs="Times New Roman"/>
          <w:color w:val="auto"/>
        </w:rPr>
        <w:t xml:space="preserve">Přerušením dodávky elektrické energie </w:t>
      </w:r>
      <w:r w:rsidR="00A0575E" w:rsidRPr="00936D2E">
        <w:rPr>
          <w:rFonts w:ascii="Times New Roman" w:hAnsi="Times New Roman" w:cs="Times New Roman"/>
          <w:color w:val="auto"/>
        </w:rPr>
        <w:t>porušil</w:t>
      </w:r>
      <w:r w:rsidR="00933791" w:rsidRPr="00936D2E">
        <w:rPr>
          <w:rFonts w:ascii="Times New Roman" w:hAnsi="Times New Roman" w:cs="Times New Roman"/>
          <w:color w:val="auto"/>
        </w:rPr>
        <w:t xml:space="preserve">a společnost </w:t>
      </w:r>
      <w:r w:rsidR="00A0575E" w:rsidRPr="00936D2E">
        <w:rPr>
          <w:rFonts w:ascii="Times New Roman" w:hAnsi="Times New Roman" w:cs="Times New Roman"/>
          <w:color w:val="auto"/>
        </w:rPr>
        <w:t xml:space="preserve">smlouvu. SMO tak vznikl nárok na uplatnění smluvní pokuty a rovněž nárok na náhradu škody. </w:t>
      </w:r>
    </w:p>
    <w:p w14:paraId="772DEC46" w14:textId="77777777" w:rsidR="00F80ADC" w:rsidRPr="00936D2E" w:rsidRDefault="00F80ADC" w:rsidP="00F80ADC">
      <w:pPr>
        <w:jc w:val="both"/>
      </w:pPr>
      <w:r w:rsidRPr="00936D2E">
        <w:t xml:space="preserve"> </w:t>
      </w:r>
    </w:p>
    <w:p w14:paraId="2600FCB8" w14:textId="6FC1609E" w:rsidR="00F80ADC" w:rsidRDefault="00F0072F" w:rsidP="004C4947">
      <w:pPr>
        <w:jc w:val="both"/>
        <w:rPr>
          <w:b/>
          <w:bCs/>
          <w:shd w:val="clear" w:color="auto" w:fill="FFFFFF"/>
        </w:rPr>
      </w:pPr>
      <w:r w:rsidRPr="00B26B2D">
        <w:rPr>
          <w:b/>
          <w:bCs/>
        </w:rPr>
        <w:t>Společnost</w:t>
      </w:r>
      <w:r w:rsidR="00A0575E" w:rsidRPr="00B26B2D">
        <w:rPr>
          <w:b/>
          <w:bCs/>
        </w:rPr>
        <w:t xml:space="preserve"> dne 1.</w:t>
      </w:r>
      <w:r w:rsidR="003F777B">
        <w:rPr>
          <w:b/>
          <w:bCs/>
        </w:rPr>
        <w:t xml:space="preserve"> </w:t>
      </w:r>
      <w:r w:rsidR="00A0575E" w:rsidRPr="00B26B2D">
        <w:rPr>
          <w:b/>
          <w:bCs/>
        </w:rPr>
        <w:t>6.</w:t>
      </w:r>
      <w:r w:rsidR="003F777B">
        <w:rPr>
          <w:b/>
          <w:bCs/>
        </w:rPr>
        <w:t xml:space="preserve"> </w:t>
      </w:r>
      <w:r w:rsidR="00A0575E" w:rsidRPr="00B26B2D">
        <w:rPr>
          <w:b/>
          <w:bCs/>
        </w:rPr>
        <w:t>2022 vstoupil</w:t>
      </w:r>
      <w:r w:rsidR="00E04601" w:rsidRPr="00B26B2D">
        <w:rPr>
          <w:b/>
          <w:bCs/>
        </w:rPr>
        <w:t>a</w:t>
      </w:r>
      <w:r w:rsidR="00A0575E" w:rsidRPr="00B26B2D">
        <w:rPr>
          <w:b/>
          <w:bCs/>
        </w:rPr>
        <w:t xml:space="preserve"> do likvidace. Likvidátorem byl jmenován dosavadní jednatel společnosti </w:t>
      </w:r>
      <w:r w:rsidR="00A0575E" w:rsidRPr="00B26B2D">
        <w:rPr>
          <w:b/>
          <w:bCs/>
          <w:shd w:val="clear" w:color="auto" w:fill="FFFFFF"/>
        </w:rPr>
        <w:t xml:space="preserve">Ing. </w:t>
      </w:r>
      <w:r w:rsidR="009C58F9" w:rsidRPr="00B26B2D">
        <w:rPr>
          <w:b/>
          <w:bCs/>
          <w:shd w:val="clear" w:color="auto" w:fill="FFFFFF"/>
        </w:rPr>
        <w:t>Pavel Miklas</w:t>
      </w:r>
      <w:r w:rsidR="005610D9" w:rsidRPr="00B26B2D">
        <w:rPr>
          <w:b/>
          <w:bCs/>
          <w:shd w:val="clear" w:color="auto" w:fill="FFFFFF"/>
        </w:rPr>
        <w:t xml:space="preserve">. </w:t>
      </w:r>
    </w:p>
    <w:p w14:paraId="5FC1F60B" w14:textId="2F08F31E" w:rsidR="00B26B2D" w:rsidRDefault="00B26B2D" w:rsidP="004C4947">
      <w:pPr>
        <w:jc w:val="both"/>
        <w:rPr>
          <w:b/>
          <w:bCs/>
          <w:shd w:val="clear" w:color="auto" w:fill="FFFFFF"/>
        </w:rPr>
      </w:pPr>
    </w:p>
    <w:p w14:paraId="056387B0" w14:textId="6EF59B62" w:rsidR="00B26B2D" w:rsidRPr="00B26B2D" w:rsidRDefault="00B26B2D" w:rsidP="004C4947">
      <w:pPr>
        <w:jc w:val="both"/>
        <w:rPr>
          <w:b/>
          <w:bCs/>
          <w:u w:val="single"/>
          <w:shd w:val="clear" w:color="auto" w:fill="FFFFFF"/>
        </w:rPr>
      </w:pPr>
      <w:r w:rsidRPr="00B26B2D">
        <w:rPr>
          <w:b/>
          <w:bCs/>
          <w:u w:val="single"/>
          <w:shd w:val="clear" w:color="auto" w:fill="FFFFFF"/>
        </w:rPr>
        <w:t>Nároky SMO</w:t>
      </w:r>
    </w:p>
    <w:p w14:paraId="1472F54F" w14:textId="19399CAC" w:rsidR="00D35311" w:rsidRDefault="00D35311" w:rsidP="004C4947">
      <w:pPr>
        <w:jc w:val="both"/>
        <w:rPr>
          <w:shd w:val="clear" w:color="auto" w:fill="FFFFFF"/>
        </w:rPr>
      </w:pPr>
    </w:p>
    <w:p w14:paraId="075590EF" w14:textId="2E45F6F2" w:rsidR="00FD57C0" w:rsidRPr="009D1083" w:rsidRDefault="00FD57C0" w:rsidP="00FD57C0">
      <w:pPr>
        <w:pStyle w:val="Default"/>
        <w:jc w:val="both"/>
        <w:rPr>
          <w:rFonts w:ascii="Times New Roman" w:hAnsi="Times New Roman" w:cs="Times New Roman"/>
        </w:rPr>
      </w:pPr>
      <w:r w:rsidRPr="009D1083">
        <w:rPr>
          <w:rFonts w:ascii="Times New Roman" w:eastAsia="Calibri" w:hAnsi="Times New Roman" w:cs="Times New Roman"/>
          <w:bCs/>
        </w:rPr>
        <w:t>Celková výše smluvní</w:t>
      </w:r>
      <w:r>
        <w:rPr>
          <w:rFonts w:ascii="Times New Roman" w:eastAsia="Calibri" w:hAnsi="Times New Roman" w:cs="Times New Roman"/>
          <w:bCs/>
        </w:rPr>
        <w:t>ch</w:t>
      </w:r>
      <w:r w:rsidRPr="009D1083">
        <w:rPr>
          <w:rFonts w:ascii="Times New Roman" w:eastAsia="Calibri" w:hAnsi="Times New Roman" w:cs="Times New Roman"/>
          <w:bCs/>
        </w:rPr>
        <w:t xml:space="preserve"> pokut představuje částku </w:t>
      </w:r>
      <w:r w:rsidRPr="00887A6A">
        <w:rPr>
          <w:rFonts w:ascii="Times New Roman" w:hAnsi="Times New Roman" w:cs="Times New Roman"/>
          <w:b/>
          <w:bCs/>
        </w:rPr>
        <w:t>1</w:t>
      </w:r>
      <w:r w:rsidR="00421AD5">
        <w:rPr>
          <w:rFonts w:ascii="Times New Roman" w:hAnsi="Times New Roman" w:cs="Times New Roman"/>
          <w:b/>
          <w:bCs/>
        </w:rPr>
        <w:t> </w:t>
      </w:r>
      <w:r w:rsidRPr="00887A6A">
        <w:rPr>
          <w:rFonts w:ascii="Times New Roman" w:hAnsi="Times New Roman" w:cs="Times New Roman"/>
          <w:b/>
          <w:bCs/>
        </w:rPr>
        <w:t>753</w:t>
      </w:r>
      <w:r w:rsidR="00421AD5">
        <w:rPr>
          <w:rFonts w:ascii="Times New Roman" w:hAnsi="Times New Roman" w:cs="Times New Roman"/>
          <w:b/>
          <w:bCs/>
        </w:rPr>
        <w:t xml:space="preserve"> </w:t>
      </w:r>
      <w:r w:rsidRPr="00887A6A">
        <w:rPr>
          <w:rFonts w:ascii="Times New Roman" w:hAnsi="Times New Roman" w:cs="Times New Roman"/>
          <w:b/>
          <w:bCs/>
        </w:rPr>
        <w:t>020,</w:t>
      </w:r>
      <w:r w:rsidR="00421AD5">
        <w:rPr>
          <w:rFonts w:ascii="Times New Roman" w:hAnsi="Times New Roman" w:cs="Times New Roman"/>
          <w:b/>
          <w:bCs/>
        </w:rPr>
        <w:t>-</w:t>
      </w:r>
      <w:r w:rsidRPr="00311A7A">
        <w:rPr>
          <w:rFonts w:ascii="Times New Roman" w:hAnsi="Times New Roman" w:cs="Times New Roman"/>
        </w:rPr>
        <w:t xml:space="preserve"> </w:t>
      </w:r>
      <w:r w:rsidRPr="009D1083">
        <w:rPr>
          <w:rFonts w:ascii="Times New Roman" w:eastAsia="Calibri" w:hAnsi="Times New Roman" w:cs="Times New Roman"/>
          <w:b/>
        </w:rPr>
        <w:t>Kč</w:t>
      </w:r>
      <w:r w:rsidR="00E366BD">
        <w:rPr>
          <w:rFonts w:ascii="Times New Roman" w:eastAsia="Calibri" w:hAnsi="Times New Roman" w:cs="Times New Roman"/>
          <w:bCs/>
        </w:rPr>
        <w:t>.</w:t>
      </w:r>
    </w:p>
    <w:p w14:paraId="78A5C550" w14:textId="77777777" w:rsidR="00FD57C0" w:rsidRDefault="00FD57C0" w:rsidP="00FD57C0">
      <w:pPr>
        <w:jc w:val="both"/>
      </w:pPr>
    </w:p>
    <w:p w14:paraId="0A8F7983" w14:textId="7A4B94FA" w:rsidR="00FD57C0" w:rsidRDefault="00FD57C0" w:rsidP="00FD57C0">
      <w:pPr>
        <w:jc w:val="both"/>
      </w:pPr>
      <w:r w:rsidRPr="00F52201">
        <w:t xml:space="preserve">Zároveň </w:t>
      </w:r>
      <w:r>
        <w:t>ú</w:t>
      </w:r>
      <w:r w:rsidRPr="00F52201">
        <w:t>hradou této smluvní pokuty není dotčeno právo na náhradu škody</w:t>
      </w:r>
      <w:r>
        <w:t xml:space="preserve">, která byla předběžně vyčíslena </w:t>
      </w:r>
      <w:r w:rsidR="00421AD5">
        <w:t>na celkovou</w:t>
      </w:r>
      <w:r>
        <w:t xml:space="preserve"> </w:t>
      </w:r>
      <w:r w:rsidR="00421AD5">
        <w:t xml:space="preserve">částku </w:t>
      </w:r>
      <w:r w:rsidR="00421AD5" w:rsidRPr="00421AD5">
        <w:rPr>
          <w:b/>
          <w:bCs/>
        </w:rPr>
        <w:t xml:space="preserve">12 </w:t>
      </w:r>
      <w:r w:rsidRPr="00302B9A">
        <w:rPr>
          <w:b/>
          <w:bCs/>
        </w:rPr>
        <w:t>506 717,</w:t>
      </w:r>
      <w:r w:rsidR="00421AD5">
        <w:rPr>
          <w:b/>
          <w:bCs/>
        </w:rPr>
        <w:t xml:space="preserve"> </w:t>
      </w:r>
      <w:r w:rsidRPr="00302B9A">
        <w:rPr>
          <w:b/>
          <w:bCs/>
        </w:rPr>
        <w:t>- Kč</w:t>
      </w:r>
      <w:r>
        <w:t>, přičemž přesná výše škody bude známa od 1.</w:t>
      </w:r>
      <w:r w:rsidR="00ED7A55">
        <w:t xml:space="preserve"> </w:t>
      </w:r>
      <w:r>
        <w:t>1.</w:t>
      </w:r>
      <w:r w:rsidR="00ED7A55">
        <w:t xml:space="preserve"> </w:t>
      </w:r>
      <w:r>
        <w:t xml:space="preserve">2024. </w:t>
      </w:r>
      <w:r w:rsidRPr="00F52201">
        <w:t xml:space="preserve"> </w:t>
      </w:r>
    </w:p>
    <w:p w14:paraId="50E2BAF9" w14:textId="77777777" w:rsidR="00E366BD" w:rsidRDefault="00E366BD" w:rsidP="00FD57C0">
      <w:pPr>
        <w:jc w:val="both"/>
      </w:pPr>
    </w:p>
    <w:p w14:paraId="3D355C59" w14:textId="5E15EE3B" w:rsidR="00FD57C0" w:rsidRDefault="00FD57C0" w:rsidP="00FD57C0">
      <w:pPr>
        <w:jc w:val="both"/>
      </w:pPr>
      <w:r w:rsidRPr="000E4F37">
        <w:t xml:space="preserve">Způsobená škoda je </w:t>
      </w:r>
      <w:r>
        <w:t>za dobu odběru od dodavatele poslední instance</w:t>
      </w:r>
      <w:r w:rsidRPr="000E4F37">
        <w:t xml:space="preserve"> rovna součinu nedodaného množství elektřiny za období </w:t>
      </w:r>
      <w:r>
        <w:t>od 12. 1. 2022 do 30. 4. 2022</w:t>
      </w:r>
      <w:r w:rsidRPr="000E4F37">
        <w:t xml:space="preserve"> a</w:t>
      </w:r>
      <w:r>
        <w:t xml:space="preserve"> </w:t>
      </w:r>
      <w:r w:rsidRPr="000E4F37">
        <w:t>rozdílu jednotkových cen dodavatele</w:t>
      </w:r>
      <w:r w:rsidRPr="00DC585E">
        <w:t xml:space="preserve"> </w:t>
      </w:r>
      <w:r>
        <w:t>poslední instance</w:t>
      </w:r>
      <w:r w:rsidRPr="000E4F37">
        <w:t xml:space="preserve"> a</w:t>
      </w:r>
      <w:r>
        <w:t xml:space="preserve"> původní</w:t>
      </w:r>
      <w:r w:rsidRPr="000E4F37">
        <w:t xml:space="preserve"> smluvní ceny</w:t>
      </w:r>
      <w:r>
        <w:t xml:space="preserve"> dodavatele </w:t>
      </w:r>
      <w:r w:rsidRPr="000E4F37">
        <w:t>Lumius, spol. s r.o.</w:t>
      </w:r>
      <w:r>
        <w:t xml:space="preserve">, což činí </w:t>
      </w:r>
      <w:bookmarkStart w:id="0" w:name="_Hlk110577178"/>
      <w:r>
        <w:t xml:space="preserve">částku </w:t>
      </w:r>
      <w:r w:rsidRPr="00887A6A">
        <w:rPr>
          <w:b/>
          <w:bCs/>
        </w:rPr>
        <w:t>1</w:t>
      </w:r>
      <w:r w:rsidR="00ED7A55">
        <w:rPr>
          <w:b/>
          <w:bCs/>
        </w:rPr>
        <w:t> </w:t>
      </w:r>
      <w:r w:rsidRPr="00887A6A">
        <w:rPr>
          <w:b/>
          <w:bCs/>
        </w:rPr>
        <w:t>753</w:t>
      </w:r>
      <w:r w:rsidR="00ED7A55">
        <w:rPr>
          <w:b/>
          <w:bCs/>
        </w:rPr>
        <w:t xml:space="preserve"> </w:t>
      </w:r>
      <w:r w:rsidRPr="00887A6A">
        <w:rPr>
          <w:b/>
          <w:bCs/>
        </w:rPr>
        <w:t>020,</w:t>
      </w:r>
      <w:r w:rsidR="00ED7A55">
        <w:rPr>
          <w:b/>
          <w:bCs/>
        </w:rPr>
        <w:t>-</w:t>
      </w:r>
      <w:r w:rsidRPr="00311A7A">
        <w:t xml:space="preserve"> </w:t>
      </w:r>
      <w:r w:rsidRPr="009D1083">
        <w:rPr>
          <w:rFonts w:eastAsia="Calibri"/>
          <w:b/>
        </w:rPr>
        <w:t>Kč</w:t>
      </w:r>
      <w:bookmarkEnd w:id="0"/>
      <w:r>
        <w:t>, tj. částku odpovídající výši smluvní pokuty</w:t>
      </w:r>
      <w:r w:rsidR="00E366BD">
        <w:t>.</w:t>
      </w:r>
    </w:p>
    <w:p w14:paraId="175E5A23" w14:textId="77777777" w:rsidR="00E366BD" w:rsidRDefault="00E366BD" w:rsidP="00FD57C0">
      <w:pPr>
        <w:jc w:val="both"/>
      </w:pPr>
    </w:p>
    <w:p w14:paraId="4324A04B" w14:textId="17CEABAC" w:rsidR="00FD57C0" w:rsidRPr="00DC0532" w:rsidRDefault="00FD57C0" w:rsidP="00FD57C0">
      <w:pPr>
        <w:jc w:val="both"/>
      </w:pPr>
      <w:r w:rsidRPr="000E4F37">
        <w:t xml:space="preserve">Způsobená škoda </w:t>
      </w:r>
      <w:r>
        <w:t>za období od 1.</w:t>
      </w:r>
      <w:r w:rsidR="00245829">
        <w:t xml:space="preserve"> </w:t>
      </w:r>
      <w:r>
        <w:t>5.</w:t>
      </w:r>
      <w:r w:rsidR="00245829">
        <w:t xml:space="preserve"> </w:t>
      </w:r>
      <w:r>
        <w:t>2022</w:t>
      </w:r>
      <w:r w:rsidRPr="000E4F37">
        <w:t xml:space="preserve"> </w:t>
      </w:r>
      <w:r>
        <w:t>do 31. 12. 2023 je</w:t>
      </w:r>
      <w:r w:rsidRPr="000E4F37">
        <w:t xml:space="preserve"> </w:t>
      </w:r>
      <w:r>
        <w:t xml:space="preserve">pak </w:t>
      </w:r>
      <w:r w:rsidRPr="000E4F37">
        <w:t xml:space="preserve">rovna součinu nedodaného množství elektřiny za období </w:t>
      </w:r>
      <w:r>
        <w:t xml:space="preserve">od 1. 5. 2022 do 31. 12. 2023 (představující množství nyní </w:t>
      </w:r>
      <w:r>
        <w:lastRenderedPageBreak/>
        <w:t>nasmlouvané u nového dodavatele)</w:t>
      </w:r>
      <w:r w:rsidRPr="000E4F37">
        <w:t xml:space="preserve"> a</w:t>
      </w:r>
      <w:r>
        <w:t xml:space="preserve"> </w:t>
      </w:r>
      <w:r w:rsidRPr="000E4F37">
        <w:t>rozdílu jednotkových cen nového dodavatele</w:t>
      </w:r>
      <w:r w:rsidRPr="00DC585E">
        <w:t xml:space="preserve"> </w:t>
      </w:r>
      <w:bookmarkStart w:id="1" w:name="_Hlk110577326"/>
      <w:r w:rsidRPr="00DC585E">
        <w:t>ČEZ ESCO, a.s.</w:t>
      </w:r>
      <w:r w:rsidRPr="000E4F37">
        <w:t xml:space="preserve"> </w:t>
      </w:r>
      <w:bookmarkEnd w:id="1"/>
      <w:r w:rsidRPr="000E4F37">
        <w:t>a</w:t>
      </w:r>
      <w:r>
        <w:t xml:space="preserve"> původní</w:t>
      </w:r>
      <w:r w:rsidRPr="000E4F37">
        <w:t xml:space="preserve"> smluvní ceny</w:t>
      </w:r>
      <w:r>
        <w:t xml:space="preserve"> dodavatele </w:t>
      </w:r>
      <w:r w:rsidRPr="000E4F37">
        <w:t>Lumius, spol. s r.o.</w:t>
      </w:r>
      <w:r>
        <w:t xml:space="preserve"> Částka na tuto náhradu škody činí </w:t>
      </w:r>
      <w:r w:rsidRPr="00272943">
        <w:rPr>
          <w:b/>
          <w:bCs/>
        </w:rPr>
        <w:t>10</w:t>
      </w:r>
      <w:r w:rsidR="00245829">
        <w:rPr>
          <w:b/>
          <w:bCs/>
        </w:rPr>
        <w:t> </w:t>
      </w:r>
      <w:r w:rsidRPr="00272943">
        <w:rPr>
          <w:b/>
          <w:bCs/>
        </w:rPr>
        <w:t>753</w:t>
      </w:r>
      <w:r w:rsidR="00245829">
        <w:rPr>
          <w:b/>
          <w:bCs/>
        </w:rPr>
        <w:t xml:space="preserve"> </w:t>
      </w:r>
      <w:r w:rsidRPr="00272943">
        <w:rPr>
          <w:b/>
          <w:bCs/>
        </w:rPr>
        <w:t>697, - Kč</w:t>
      </w:r>
      <w:r>
        <w:t xml:space="preserve">, ale tato pohledávka je podmíněná, </w:t>
      </w:r>
      <w:r w:rsidRPr="00A02944">
        <w:t>přičemž přesná výše škody bude známa od 1.</w:t>
      </w:r>
      <w:r w:rsidR="00355EF0">
        <w:t xml:space="preserve"> </w:t>
      </w:r>
      <w:r w:rsidRPr="00A02944">
        <w:t>1.</w:t>
      </w:r>
      <w:r w:rsidR="00355EF0">
        <w:t xml:space="preserve"> </w:t>
      </w:r>
      <w:r w:rsidRPr="00A02944">
        <w:t>2024</w:t>
      </w:r>
      <w:r>
        <w:t xml:space="preserve"> po zjištění skutečných odběrů energie za rozhodné období.</w:t>
      </w:r>
    </w:p>
    <w:p w14:paraId="1D9B510A" w14:textId="77777777" w:rsidR="00FD57C0" w:rsidRPr="00E366BD" w:rsidRDefault="00FD57C0" w:rsidP="00E366BD">
      <w:pPr>
        <w:jc w:val="both"/>
      </w:pPr>
    </w:p>
    <w:p w14:paraId="6A80B7C9" w14:textId="3D88458A" w:rsidR="00FD57C0" w:rsidRDefault="00FD57C0" w:rsidP="00FD57C0">
      <w:pPr>
        <w:pStyle w:val="Default"/>
        <w:jc w:val="both"/>
        <w:rPr>
          <w:rFonts w:ascii="Times New Roman" w:eastAsia="Calibri" w:hAnsi="Times New Roman" w:cs="Times New Roman"/>
          <w:b/>
          <w:u w:val="single"/>
        </w:rPr>
      </w:pPr>
      <w:r w:rsidRPr="00DC0532">
        <w:rPr>
          <w:rFonts w:ascii="Times New Roman" w:eastAsia="Calibri" w:hAnsi="Times New Roman" w:cs="Times New Roman"/>
          <w:bCs/>
        </w:rPr>
        <w:t xml:space="preserve">Na základě výše uvedeného </w:t>
      </w:r>
      <w:r w:rsidR="00B26B2D">
        <w:rPr>
          <w:rFonts w:ascii="Times New Roman" w:eastAsia="Calibri" w:hAnsi="Times New Roman" w:cs="Times New Roman"/>
          <w:bCs/>
        </w:rPr>
        <w:t>rozhodlo</w:t>
      </w:r>
      <w:r w:rsidR="00E366BD">
        <w:rPr>
          <w:rFonts w:ascii="Times New Roman" w:eastAsia="Calibri" w:hAnsi="Times New Roman" w:cs="Times New Roman"/>
          <w:bCs/>
        </w:rPr>
        <w:t xml:space="preserve"> SMO přihlás</w:t>
      </w:r>
      <w:r w:rsidR="00B26B2D">
        <w:rPr>
          <w:rFonts w:ascii="Times New Roman" w:eastAsia="Calibri" w:hAnsi="Times New Roman" w:cs="Times New Roman"/>
          <w:bCs/>
        </w:rPr>
        <w:t>it</w:t>
      </w:r>
      <w:r w:rsidRPr="00DC0532">
        <w:rPr>
          <w:rFonts w:ascii="Times New Roman" w:eastAsia="Calibri" w:hAnsi="Times New Roman" w:cs="Times New Roman"/>
          <w:bCs/>
        </w:rPr>
        <w:t xml:space="preserve"> </w:t>
      </w:r>
      <w:r>
        <w:rPr>
          <w:rFonts w:ascii="Times New Roman" w:eastAsia="Calibri" w:hAnsi="Times New Roman" w:cs="Times New Roman"/>
          <w:bCs/>
        </w:rPr>
        <w:t>své</w:t>
      </w:r>
      <w:r w:rsidRPr="00DC0532">
        <w:rPr>
          <w:rFonts w:ascii="Times New Roman" w:eastAsia="Calibri" w:hAnsi="Times New Roman" w:cs="Times New Roman"/>
          <w:bCs/>
        </w:rPr>
        <w:t xml:space="preserve"> peněžit</w:t>
      </w:r>
      <w:r>
        <w:rPr>
          <w:rFonts w:ascii="Times New Roman" w:eastAsia="Calibri" w:hAnsi="Times New Roman" w:cs="Times New Roman"/>
          <w:bCs/>
        </w:rPr>
        <w:t>é</w:t>
      </w:r>
      <w:r w:rsidRPr="00DC0532">
        <w:rPr>
          <w:rFonts w:ascii="Times New Roman" w:eastAsia="Calibri" w:hAnsi="Times New Roman" w:cs="Times New Roman"/>
          <w:bCs/>
        </w:rPr>
        <w:t xml:space="preserve"> pohledávk</w:t>
      </w:r>
      <w:r>
        <w:rPr>
          <w:rFonts w:ascii="Times New Roman" w:eastAsia="Calibri" w:hAnsi="Times New Roman" w:cs="Times New Roman"/>
          <w:bCs/>
        </w:rPr>
        <w:t>y</w:t>
      </w:r>
      <w:r w:rsidR="00BC582D" w:rsidRPr="00823264">
        <w:rPr>
          <w:rFonts w:ascii="Times New Roman" w:hAnsi="Times New Roman"/>
          <w:b/>
        </w:rPr>
        <w:t xml:space="preserve"> </w:t>
      </w:r>
      <w:r w:rsidRPr="00B26B2D">
        <w:rPr>
          <w:rFonts w:ascii="Times New Roman" w:hAnsi="Times New Roman" w:cs="Times New Roman"/>
          <w:b/>
        </w:rPr>
        <w:t xml:space="preserve">v celkové výši </w:t>
      </w:r>
      <w:r w:rsidRPr="00B26B2D">
        <w:rPr>
          <w:rFonts w:ascii="Times New Roman" w:eastAsia="Calibri" w:hAnsi="Times New Roman" w:cs="Times New Roman"/>
          <w:b/>
        </w:rPr>
        <w:t>14</w:t>
      </w:r>
      <w:r w:rsidR="00355EF0">
        <w:rPr>
          <w:rFonts w:ascii="Times New Roman" w:eastAsia="Calibri" w:hAnsi="Times New Roman" w:cs="Times New Roman"/>
          <w:b/>
        </w:rPr>
        <w:t> </w:t>
      </w:r>
      <w:r w:rsidRPr="00B26B2D">
        <w:rPr>
          <w:rFonts w:ascii="Times New Roman" w:eastAsia="Calibri" w:hAnsi="Times New Roman" w:cs="Times New Roman"/>
          <w:b/>
        </w:rPr>
        <w:t>259</w:t>
      </w:r>
      <w:r w:rsidR="00355EF0">
        <w:rPr>
          <w:rFonts w:ascii="Times New Roman" w:eastAsia="Calibri" w:hAnsi="Times New Roman" w:cs="Times New Roman"/>
          <w:b/>
        </w:rPr>
        <w:t xml:space="preserve"> </w:t>
      </w:r>
      <w:r w:rsidRPr="00B26B2D">
        <w:rPr>
          <w:rFonts w:ascii="Times New Roman" w:eastAsia="Calibri" w:hAnsi="Times New Roman" w:cs="Times New Roman"/>
          <w:b/>
        </w:rPr>
        <w:t xml:space="preserve">737, </w:t>
      </w:r>
      <w:r w:rsidR="0028090A" w:rsidRPr="00B26B2D">
        <w:rPr>
          <w:rFonts w:ascii="Times New Roman" w:eastAsia="Calibri" w:hAnsi="Times New Roman" w:cs="Times New Roman"/>
          <w:b/>
        </w:rPr>
        <w:t>- Kč</w:t>
      </w:r>
      <w:r w:rsidRPr="00B26B2D">
        <w:rPr>
          <w:rFonts w:ascii="Times New Roman" w:eastAsia="Calibri" w:hAnsi="Times New Roman" w:cs="Times New Roman"/>
          <w:b/>
        </w:rPr>
        <w:t xml:space="preserve"> do likvidace, kdy z toho částka ve výši 10</w:t>
      </w:r>
      <w:r w:rsidR="00355EF0">
        <w:rPr>
          <w:rFonts w:ascii="Times New Roman" w:eastAsia="Calibri" w:hAnsi="Times New Roman" w:cs="Times New Roman"/>
          <w:b/>
        </w:rPr>
        <w:t> </w:t>
      </w:r>
      <w:r w:rsidRPr="00B26B2D">
        <w:rPr>
          <w:rFonts w:ascii="Times New Roman" w:eastAsia="Calibri" w:hAnsi="Times New Roman" w:cs="Times New Roman"/>
          <w:b/>
        </w:rPr>
        <w:t>753</w:t>
      </w:r>
      <w:r w:rsidR="00355EF0">
        <w:rPr>
          <w:rFonts w:ascii="Times New Roman" w:eastAsia="Calibri" w:hAnsi="Times New Roman" w:cs="Times New Roman"/>
          <w:b/>
        </w:rPr>
        <w:t xml:space="preserve"> </w:t>
      </w:r>
      <w:r w:rsidRPr="00B26B2D">
        <w:rPr>
          <w:rFonts w:ascii="Times New Roman" w:eastAsia="Calibri" w:hAnsi="Times New Roman" w:cs="Times New Roman"/>
          <w:b/>
        </w:rPr>
        <w:t xml:space="preserve">697, - Kč </w:t>
      </w:r>
      <w:r w:rsidR="0028090A">
        <w:rPr>
          <w:rFonts w:ascii="Times New Roman" w:eastAsia="Calibri" w:hAnsi="Times New Roman" w:cs="Times New Roman"/>
          <w:b/>
        </w:rPr>
        <w:t xml:space="preserve">je </w:t>
      </w:r>
      <w:r w:rsidRPr="00B26B2D">
        <w:rPr>
          <w:rFonts w:ascii="Times New Roman" w:eastAsia="Calibri" w:hAnsi="Times New Roman" w:cs="Times New Roman"/>
          <w:b/>
        </w:rPr>
        <w:t>přihlašována jako podmíněná, přičemž přesná výše náhrady škody bude známa od 1.</w:t>
      </w:r>
      <w:r w:rsidR="00355EF0">
        <w:rPr>
          <w:rFonts w:ascii="Times New Roman" w:eastAsia="Calibri" w:hAnsi="Times New Roman" w:cs="Times New Roman"/>
          <w:b/>
        </w:rPr>
        <w:t xml:space="preserve"> </w:t>
      </w:r>
      <w:r w:rsidRPr="00B26B2D">
        <w:rPr>
          <w:rFonts w:ascii="Times New Roman" w:eastAsia="Calibri" w:hAnsi="Times New Roman" w:cs="Times New Roman"/>
          <w:b/>
        </w:rPr>
        <w:t>1.</w:t>
      </w:r>
      <w:r w:rsidR="00355EF0">
        <w:rPr>
          <w:rFonts w:ascii="Times New Roman" w:eastAsia="Calibri" w:hAnsi="Times New Roman" w:cs="Times New Roman"/>
          <w:b/>
        </w:rPr>
        <w:t xml:space="preserve"> </w:t>
      </w:r>
      <w:r w:rsidRPr="00B26B2D">
        <w:rPr>
          <w:rFonts w:ascii="Times New Roman" w:eastAsia="Calibri" w:hAnsi="Times New Roman" w:cs="Times New Roman"/>
          <w:b/>
        </w:rPr>
        <w:t>2024.</w:t>
      </w:r>
      <w:r w:rsidR="00BC7F4B" w:rsidRPr="00B26B2D">
        <w:rPr>
          <w:rFonts w:ascii="Times New Roman" w:eastAsia="Calibri" w:hAnsi="Times New Roman" w:cs="Times New Roman"/>
          <w:b/>
        </w:rPr>
        <w:t xml:space="preserve"> Podrobné výpočty jsou přílohou č. </w:t>
      </w:r>
      <w:r w:rsidR="0028090A">
        <w:rPr>
          <w:rFonts w:ascii="Times New Roman" w:eastAsia="Calibri" w:hAnsi="Times New Roman" w:cs="Times New Roman"/>
          <w:b/>
        </w:rPr>
        <w:t>2</w:t>
      </w:r>
      <w:r w:rsidR="00BC7F4B" w:rsidRPr="00B26B2D">
        <w:rPr>
          <w:rFonts w:ascii="Times New Roman" w:eastAsia="Calibri" w:hAnsi="Times New Roman" w:cs="Times New Roman"/>
          <w:b/>
        </w:rPr>
        <w:t xml:space="preserve"> předloženého materiálu.</w:t>
      </w:r>
    </w:p>
    <w:p w14:paraId="15B03B03" w14:textId="24D4A5D4" w:rsidR="00B26B2D" w:rsidRDefault="00B26B2D" w:rsidP="00FD57C0">
      <w:pPr>
        <w:pStyle w:val="Default"/>
        <w:jc w:val="both"/>
        <w:rPr>
          <w:rFonts w:ascii="Times New Roman" w:eastAsia="Calibri" w:hAnsi="Times New Roman" w:cs="Times New Roman"/>
          <w:b/>
          <w:u w:val="single"/>
        </w:rPr>
      </w:pPr>
    </w:p>
    <w:p w14:paraId="2E9FA3F8" w14:textId="77777777" w:rsidR="00B26B2D" w:rsidRDefault="00B26B2D" w:rsidP="00FD57C0">
      <w:pPr>
        <w:pStyle w:val="Default"/>
        <w:jc w:val="both"/>
        <w:rPr>
          <w:rFonts w:ascii="Times New Roman" w:eastAsia="Calibri" w:hAnsi="Times New Roman" w:cs="Times New Roman"/>
          <w:b/>
          <w:u w:val="single"/>
        </w:rPr>
      </w:pPr>
    </w:p>
    <w:p w14:paraId="0CEA714A" w14:textId="3D622E0C" w:rsidR="00B26B2D" w:rsidRDefault="00B26B2D" w:rsidP="00FD57C0">
      <w:pPr>
        <w:pStyle w:val="Default"/>
        <w:jc w:val="both"/>
        <w:rPr>
          <w:rFonts w:ascii="Times New Roman" w:eastAsia="Calibri" w:hAnsi="Times New Roman" w:cs="Times New Roman"/>
          <w:b/>
          <w:u w:val="single"/>
        </w:rPr>
      </w:pPr>
      <w:r>
        <w:rPr>
          <w:rFonts w:ascii="Times New Roman" w:eastAsia="Calibri" w:hAnsi="Times New Roman" w:cs="Times New Roman"/>
          <w:b/>
          <w:u w:val="single"/>
        </w:rPr>
        <w:t>Dohoda o narovnání – návrh společnosti</w:t>
      </w:r>
    </w:p>
    <w:p w14:paraId="7A8D4ABD" w14:textId="11AA5FEB" w:rsidR="00B26B2D" w:rsidRDefault="00B26B2D" w:rsidP="00FD57C0">
      <w:pPr>
        <w:pStyle w:val="Default"/>
        <w:jc w:val="both"/>
        <w:rPr>
          <w:rFonts w:ascii="Times New Roman" w:eastAsia="Calibri" w:hAnsi="Times New Roman" w:cs="Times New Roman"/>
          <w:b/>
          <w:u w:val="single"/>
        </w:rPr>
      </w:pPr>
    </w:p>
    <w:p w14:paraId="502E81A1" w14:textId="232FCD5D" w:rsidR="0039136E" w:rsidRDefault="0039136E" w:rsidP="00FD57C0">
      <w:pPr>
        <w:pStyle w:val="Default"/>
        <w:jc w:val="both"/>
        <w:rPr>
          <w:rFonts w:ascii="Times New Roman" w:eastAsia="Calibri" w:hAnsi="Times New Roman" w:cs="Times New Roman"/>
          <w:b/>
          <w:u w:val="single"/>
        </w:rPr>
      </w:pPr>
    </w:p>
    <w:p w14:paraId="1CF60234" w14:textId="132848B5" w:rsidR="0039136E" w:rsidRDefault="0039136E" w:rsidP="00FD57C0">
      <w:pPr>
        <w:pStyle w:val="Default"/>
        <w:jc w:val="both"/>
        <w:rPr>
          <w:rFonts w:ascii="Times New Roman" w:eastAsia="Calibri" w:hAnsi="Times New Roman" w:cs="Times New Roman"/>
          <w:bCs/>
        </w:rPr>
      </w:pPr>
      <w:r>
        <w:rPr>
          <w:rFonts w:ascii="Times New Roman" w:eastAsia="Calibri" w:hAnsi="Times New Roman" w:cs="Times New Roman"/>
          <w:bCs/>
        </w:rPr>
        <w:t>Společnost</w:t>
      </w:r>
      <w:r w:rsidRPr="0039136E">
        <w:rPr>
          <w:rFonts w:ascii="Times New Roman" w:eastAsia="Calibri" w:hAnsi="Times New Roman" w:cs="Times New Roman"/>
          <w:bCs/>
        </w:rPr>
        <w:t xml:space="preserve"> má za to, že k ukončení dodávek elektřiny došlo z důvodu objektivní nemožnosti plnění na straně </w:t>
      </w:r>
      <w:r>
        <w:rPr>
          <w:rFonts w:ascii="Times New Roman" w:eastAsia="Calibri" w:hAnsi="Times New Roman" w:cs="Times New Roman"/>
          <w:bCs/>
        </w:rPr>
        <w:t>společnosti</w:t>
      </w:r>
      <w:r w:rsidRPr="0039136E">
        <w:rPr>
          <w:rFonts w:ascii="Times New Roman" w:eastAsia="Calibri" w:hAnsi="Times New Roman" w:cs="Times New Roman"/>
          <w:bCs/>
        </w:rPr>
        <w:t xml:space="preserve">, resp. vyšší moci, když plnění </w:t>
      </w:r>
      <w:r>
        <w:rPr>
          <w:rFonts w:ascii="Times New Roman" w:eastAsia="Calibri" w:hAnsi="Times New Roman" w:cs="Times New Roman"/>
          <w:bCs/>
        </w:rPr>
        <w:t>s</w:t>
      </w:r>
      <w:r w:rsidRPr="0039136E">
        <w:rPr>
          <w:rFonts w:ascii="Times New Roman" w:eastAsia="Calibri" w:hAnsi="Times New Roman" w:cs="Times New Roman"/>
          <w:bCs/>
        </w:rPr>
        <w:t>mlouvy brán</w:t>
      </w:r>
      <w:r>
        <w:rPr>
          <w:rFonts w:ascii="Times New Roman" w:eastAsia="Calibri" w:hAnsi="Times New Roman" w:cs="Times New Roman"/>
          <w:bCs/>
        </w:rPr>
        <w:t>ila</w:t>
      </w:r>
      <w:r w:rsidRPr="0039136E">
        <w:rPr>
          <w:rFonts w:ascii="Times New Roman" w:eastAsia="Calibri" w:hAnsi="Times New Roman" w:cs="Times New Roman"/>
          <w:bCs/>
        </w:rPr>
        <w:t xml:space="preserve"> mimořádná nepředvídatelná a nepřekonatelná vnější okolnost, tedy </w:t>
      </w:r>
      <w:r>
        <w:rPr>
          <w:rFonts w:ascii="Times New Roman" w:eastAsia="Calibri" w:hAnsi="Times New Roman" w:cs="Times New Roman"/>
          <w:bCs/>
        </w:rPr>
        <w:t>společnost</w:t>
      </w:r>
      <w:r w:rsidRPr="0039136E">
        <w:rPr>
          <w:rFonts w:ascii="Times New Roman" w:eastAsia="Calibri" w:hAnsi="Times New Roman" w:cs="Times New Roman"/>
          <w:bCs/>
        </w:rPr>
        <w:t xml:space="preserve"> požadovanou škodu a smluvní pokutu neuznává. </w:t>
      </w:r>
    </w:p>
    <w:p w14:paraId="574F7AE8" w14:textId="77777777" w:rsidR="0039136E" w:rsidRDefault="0039136E" w:rsidP="00FD57C0">
      <w:pPr>
        <w:pStyle w:val="Default"/>
        <w:jc w:val="both"/>
        <w:rPr>
          <w:rFonts w:ascii="Times New Roman" w:eastAsia="Calibri" w:hAnsi="Times New Roman" w:cs="Times New Roman"/>
          <w:b/>
          <w:u w:val="single"/>
        </w:rPr>
      </w:pPr>
    </w:p>
    <w:p w14:paraId="56DA3777" w14:textId="490E4839" w:rsidR="00B26B2D" w:rsidRDefault="0039136E" w:rsidP="0039136E">
      <w:pPr>
        <w:pStyle w:val="Default"/>
        <w:jc w:val="both"/>
        <w:rPr>
          <w:rFonts w:ascii="Times New Roman" w:eastAsia="Calibri" w:hAnsi="Times New Roman" w:cs="Times New Roman"/>
          <w:bCs/>
        </w:rPr>
      </w:pPr>
      <w:r>
        <w:rPr>
          <w:rFonts w:ascii="Times New Roman" w:eastAsia="Calibri" w:hAnsi="Times New Roman" w:cs="Times New Roman"/>
          <w:bCs/>
        </w:rPr>
        <w:t>SMO má však</w:t>
      </w:r>
      <w:r w:rsidRPr="0039136E">
        <w:rPr>
          <w:rFonts w:ascii="Times New Roman" w:eastAsia="Calibri" w:hAnsi="Times New Roman" w:cs="Times New Roman"/>
          <w:bCs/>
        </w:rPr>
        <w:t xml:space="preserve"> za nepochybné, že ukončením dodávek elektřiny dle </w:t>
      </w:r>
      <w:r>
        <w:rPr>
          <w:rFonts w:ascii="Times New Roman" w:eastAsia="Calibri" w:hAnsi="Times New Roman" w:cs="Times New Roman"/>
          <w:bCs/>
        </w:rPr>
        <w:t>s</w:t>
      </w:r>
      <w:r w:rsidRPr="0039136E">
        <w:rPr>
          <w:rFonts w:ascii="Times New Roman" w:eastAsia="Calibri" w:hAnsi="Times New Roman" w:cs="Times New Roman"/>
          <w:bCs/>
        </w:rPr>
        <w:t xml:space="preserve">mlouvy došlo k porušení smluvní povinnosti </w:t>
      </w:r>
      <w:r>
        <w:rPr>
          <w:rFonts w:ascii="Times New Roman" w:eastAsia="Calibri" w:hAnsi="Times New Roman" w:cs="Times New Roman"/>
          <w:bCs/>
        </w:rPr>
        <w:t>společnosti</w:t>
      </w:r>
      <w:r w:rsidRPr="0039136E">
        <w:rPr>
          <w:rFonts w:ascii="Times New Roman" w:eastAsia="Calibri" w:hAnsi="Times New Roman" w:cs="Times New Roman"/>
          <w:bCs/>
        </w:rPr>
        <w:t xml:space="preserve">, čímž má </w:t>
      </w:r>
      <w:r>
        <w:rPr>
          <w:rFonts w:ascii="Times New Roman" w:eastAsia="Calibri" w:hAnsi="Times New Roman" w:cs="Times New Roman"/>
          <w:bCs/>
        </w:rPr>
        <w:t>SMO</w:t>
      </w:r>
      <w:r w:rsidRPr="0039136E">
        <w:rPr>
          <w:rFonts w:ascii="Times New Roman" w:eastAsia="Calibri" w:hAnsi="Times New Roman" w:cs="Times New Roman"/>
          <w:bCs/>
        </w:rPr>
        <w:t xml:space="preserve"> za to, že mu vznikla škoda a do budoucna se bude tato škoda nadále navyšovat a </w:t>
      </w:r>
      <w:r>
        <w:rPr>
          <w:rFonts w:ascii="Times New Roman" w:eastAsia="Calibri" w:hAnsi="Times New Roman" w:cs="Times New Roman"/>
          <w:bCs/>
        </w:rPr>
        <w:t>společnost</w:t>
      </w:r>
      <w:r w:rsidRPr="0039136E">
        <w:rPr>
          <w:rFonts w:ascii="Times New Roman" w:eastAsia="Calibri" w:hAnsi="Times New Roman" w:cs="Times New Roman"/>
          <w:bCs/>
        </w:rPr>
        <w:t xml:space="preserve"> za tuto škodu odpovídá v plné výši</w:t>
      </w:r>
      <w:r>
        <w:rPr>
          <w:rFonts w:ascii="Times New Roman" w:eastAsia="Calibri" w:hAnsi="Times New Roman" w:cs="Times New Roman"/>
          <w:bCs/>
        </w:rPr>
        <w:t xml:space="preserve"> (jednotlivé nároky jsou popsané výše)</w:t>
      </w:r>
      <w:r w:rsidRPr="0039136E">
        <w:rPr>
          <w:rFonts w:ascii="Times New Roman" w:eastAsia="Calibri" w:hAnsi="Times New Roman" w:cs="Times New Roman"/>
          <w:bCs/>
        </w:rPr>
        <w:t xml:space="preserve">. </w:t>
      </w:r>
    </w:p>
    <w:p w14:paraId="4C408E32" w14:textId="639BFB0A" w:rsidR="0039136E" w:rsidRDefault="0039136E" w:rsidP="0039136E">
      <w:pPr>
        <w:pStyle w:val="Default"/>
        <w:jc w:val="both"/>
        <w:rPr>
          <w:rFonts w:ascii="Times New Roman" w:eastAsia="Calibri" w:hAnsi="Times New Roman" w:cs="Times New Roman"/>
          <w:bCs/>
        </w:rPr>
      </w:pPr>
    </w:p>
    <w:p w14:paraId="71FA9788" w14:textId="4838F4E6" w:rsidR="0039136E" w:rsidRDefault="0039136E" w:rsidP="0039136E">
      <w:pPr>
        <w:pStyle w:val="Default"/>
        <w:jc w:val="both"/>
        <w:rPr>
          <w:rFonts w:ascii="Times New Roman" w:eastAsia="Calibri" w:hAnsi="Times New Roman" w:cs="Times New Roman"/>
          <w:bCs/>
        </w:rPr>
      </w:pPr>
      <w:r>
        <w:rPr>
          <w:rFonts w:ascii="Times New Roman" w:eastAsia="Calibri" w:hAnsi="Times New Roman" w:cs="Times New Roman"/>
          <w:bCs/>
        </w:rPr>
        <w:t>SMO by dle návrhu</w:t>
      </w:r>
      <w:r w:rsidRPr="0039136E">
        <w:rPr>
          <w:rFonts w:ascii="Times New Roman" w:eastAsia="Calibri" w:hAnsi="Times New Roman" w:cs="Times New Roman"/>
          <w:bCs/>
        </w:rPr>
        <w:t xml:space="preserve"> </w:t>
      </w:r>
      <w:r>
        <w:rPr>
          <w:rFonts w:ascii="Times New Roman" w:eastAsia="Calibri" w:hAnsi="Times New Roman" w:cs="Times New Roman"/>
          <w:bCs/>
        </w:rPr>
        <w:t>obdrželo</w:t>
      </w:r>
      <w:r w:rsidRPr="0039136E">
        <w:rPr>
          <w:rFonts w:ascii="Times New Roman" w:eastAsia="Calibri" w:hAnsi="Times New Roman" w:cs="Times New Roman"/>
          <w:bCs/>
        </w:rPr>
        <w:t xml:space="preserve"> kompenzaci</w:t>
      </w:r>
      <w:r>
        <w:rPr>
          <w:rFonts w:ascii="Times New Roman" w:eastAsia="Calibri" w:hAnsi="Times New Roman" w:cs="Times New Roman"/>
          <w:bCs/>
        </w:rPr>
        <w:t xml:space="preserve"> za předčasné ukončení smlouvy</w:t>
      </w:r>
      <w:r w:rsidRPr="0039136E">
        <w:rPr>
          <w:rFonts w:ascii="Times New Roman" w:eastAsia="Calibri" w:hAnsi="Times New Roman" w:cs="Times New Roman"/>
          <w:bCs/>
        </w:rPr>
        <w:t xml:space="preserve"> v</w:t>
      </w:r>
      <w:r>
        <w:rPr>
          <w:rFonts w:ascii="Times New Roman" w:eastAsia="Calibri" w:hAnsi="Times New Roman" w:cs="Times New Roman"/>
          <w:bCs/>
        </w:rPr>
        <w:t xml:space="preserve"> celkové</w:t>
      </w:r>
      <w:r w:rsidRPr="0039136E">
        <w:rPr>
          <w:rFonts w:ascii="Times New Roman" w:eastAsia="Calibri" w:hAnsi="Times New Roman" w:cs="Times New Roman"/>
          <w:bCs/>
        </w:rPr>
        <w:t xml:space="preserve"> výši 427</w:t>
      </w:r>
      <w:r>
        <w:rPr>
          <w:rFonts w:ascii="Times New Roman" w:eastAsia="Calibri" w:hAnsi="Times New Roman" w:cs="Times New Roman"/>
          <w:bCs/>
        </w:rPr>
        <w:t> </w:t>
      </w:r>
      <w:r w:rsidRPr="0039136E">
        <w:rPr>
          <w:rFonts w:ascii="Times New Roman" w:eastAsia="Calibri" w:hAnsi="Times New Roman" w:cs="Times New Roman"/>
          <w:bCs/>
        </w:rPr>
        <w:t>076,5</w:t>
      </w:r>
      <w:r w:rsidR="00CA1D9A">
        <w:rPr>
          <w:rFonts w:ascii="Times New Roman" w:eastAsia="Calibri" w:hAnsi="Times New Roman" w:cs="Times New Roman"/>
          <w:bCs/>
        </w:rPr>
        <w:t>0</w:t>
      </w:r>
      <w:r w:rsidRPr="0039136E">
        <w:rPr>
          <w:rFonts w:ascii="Times New Roman" w:eastAsia="Calibri" w:hAnsi="Times New Roman" w:cs="Times New Roman"/>
          <w:bCs/>
        </w:rPr>
        <w:t xml:space="preserve"> Kč</w:t>
      </w:r>
      <w:r>
        <w:rPr>
          <w:rFonts w:ascii="Times New Roman" w:eastAsia="Calibri" w:hAnsi="Times New Roman" w:cs="Times New Roman"/>
          <w:bCs/>
        </w:rPr>
        <w:t>. P</w:t>
      </w:r>
      <w:r w:rsidRPr="0039136E">
        <w:rPr>
          <w:rFonts w:ascii="Times New Roman" w:eastAsia="Calibri" w:hAnsi="Times New Roman" w:cs="Times New Roman"/>
          <w:bCs/>
        </w:rPr>
        <w:t xml:space="preserve">řičemž </w:t>
      </w:r>
      <w:r>
        <w:rPr>
          <w:rFonts w:ascii="Times New Roman" w:eastAsia="Calibri" w:hAnsi="Times New Roman" w:cs="Times New Roman"/>
          <w:bCs/>
        </w:rPr>
        <w:t xml:space="preserve">SMO dodnes </w:t>
      </w:r>
      <w:r w:rsidRPr="0039136E">
        <w:rPr>
          <w:rFonts w:ascii="Times New Roman" w:eastAsia="Calibri" w:hAnsi="Times New Roman" w:cs="Times New Roman"/>
          <w:bCs/>
        </w:rPr>
        <w:t>neuhra</w:t>
      </w:r>
      <w:r>
        <w:rPr>
          <w:rFonts w:ascii="Times New Roman" w:eastAsia="Calibri" w:hAnsi="Times New Roman" w:cs="Times New Roman"/>
          <w:bCs/>
        </w:rPr>
        <w:t>dilo</w:t>
      </w:r>
      <w:r w:rsidRPr="0039136E">
        <w:rPr>
          <w:rFonts w:ascii="Times New Roman" w:eastAsia="Calibri" w:hAnsi="Times New Roman" w:cs="Times New Roman"/>
          <w:bCs/>
        </w:rPr>
        <w:t xml:space="preserve"> faktury </w:t>
      </w:r>
      <w:r>
        <w:rPr>
          <w:rFonts w:ascii="Times New Roman" w:eastAsia="Calibri" w:hAnsi="Times New Roman" w:cs="Times New Roman"/>
          <w:bCs/>
        </w:rPr>
        <w:t xml:space="preserve">za dodávky elektrické energie od společnosti v celkové výši </w:t>
      </w:r>
      <w:r w:rsidRPr="0039136E">
        <w:rPr>
          <w:rFonts w:ascii="Times New Roman" w:eastAsia="Calibri" w:hAnsi="Times New Roman" w:cs="Times New Roman"/>
          <w:bCs/>
        </w:rPr>
        <w:t xml:space="preserve">157 272,60 Kč, </w:t>
      </w:r>
      <w:r>
        <w:rPr>
          <w:rFonts w:ascii="Times New Roman" w:eastAsia="Calibri" w:hAnsi="Times New Roman" w:cs="Times New Roman"/>
          <w:bCs/>
        </w:rPr>
        <w:t xml:space="preserve">kdy tato částka by byla započtena na kompenzaci a SMO by </w:t>
      </w:r>
      <w:r w:rsidR="00EF5DDB">
        <w:rPr>
          <w:rFonts w:ascii="Times New Roman" w:eastAsia="Calibri" w:hAnsi="Times New Roman" w:cs="Times New Roman"/>
          <w:bCs/>
        </w:rPr>
        <w:t>následně ještě</w:t>
      </w:r>
      <w:r w:rsidRPr="0039136E">
        <w:rPr>
          <w:rFonts w:ascii="Times New Roman" w:eastAsia="Calibri" w:hAnsi="Times New Roman" w:cs="Times New Roman"/>
          <w:bCs/>
        </w:rPr>
        <w:t xml:space="preserve"> obdržel</w:t>
      </w:r>
      <w:r w:rsidR="00EF5DDB">
        <w:rPr>
          <w:rFonts w:ascii="Times New Roman" w:eastAsia="Calibri" w:hAnsi="Times New Roman" w:cs="Times New Roman"/>
          <w:bCs/>
        </w:rPr>
        <w:t>o</w:t>
      </w:r>
      <w:r w:rsidRPr="0039136E">
        <w:rPr>
          <w:rFonts w:ascii="Times New Roman" w:eastAsia="Calibri" w:hAnsi="Times New Roman" w:cs="Times New Roman"/>
          <w:bCs/>
        </w:rPr>
        <w:t xml:space="preserve"> kompenzační doplatek ve výši 269 803,90 Kč</w:t>
      </w:r>
      <w:r w:rsidR="00EF5DDB">
        <w:rPr>
          <w:rFonts w:ascii="Times New Roman" w:eastAsia="Calibri" w:hAnsi="Times New Roman" w:cs="Times New Roman"/>
          <w:bCs/>
        </w:rPr>
        <w:t>.</w:t>
      </w:r>
    </w:p>
    <w:p w14:paraId="774C09C9" w14:textId="3B20528A" w:rsidR="00EF5DDB" w:rsidRDefault="00EF5DDB" w:rsidP="0039136E">
      <w:pPr>
        <w:pStyle w:val="Default"/>
        <w:jc w:val="both"/>
        <w:rPr>
          <w:rFonts w:ascii="Times New Roman" w:eastAsia="Calibri" w:hAnsi="Times New Roman" w:cs="Times New Roman"/>
          <w:bCs/>
        </w:rPr>
      </w:pPr>
    </w:p>
    <w:p w14:paraId="620B4EF9" w14:textId="05AE4C40" w:rsidR="00EF5DDB" w:rsidRDefault="00EF5DDB" w:rsidP="0039136E">
      <w:pPr>
        <w:pStyle w:val="Default"/>
        <w:jc w:val="both"/>
        <w:rPr>
          <w:rFonts w:ascii="Times New Roman" w:eastAsia="Calibri" w:hAnsi="Times New Roman" w:cs="Times New Roman"/>
          <w:bCs/>
        </w:rPr>
      </w:pPr>
      <w:r>
        <w:rPr>
          <w:rFonts w:ascii="Times New Roman" w:eastAsia="Calibri" w:hAnsi="Times New Roman" w:cs="Times New Roman"/>
          <w:bCs/>
        </w:rPr>
        <w:t>SMO současně,</w:t>
      </w:r>
      <w:r w:rsidRPr="00EF5DDB">
        <w:rPr>
          <w:rFonts w:ascii="Times New Roman" w:eastAsia="Calibri" w:hAnsi="Times New Roman" w:cs="Times New Roman"/>
          <w:bCs/>
        </w:rPr>
        <w:t xml:space="preserve"> pokud nedojde k úhradě </w:t>
      </w:r>
      <w:r>
        <w:rPr>
          <w:rFonts w:ascii="Times New Roman" w:eastAsia="Calibri" w:hAnsi="Times New Roman" w:cs="Times New Roman"/>
          <w:bCs/>
        </w:rPr>
        <w:t>kompenzace, bude oprávněno</w:t>
      </w:r>
      <w:r w:rsidRPr="00EF5DDB">
        <w:rPr>
          <w:rFonts w:ascii="Times New Roman" w:eastAsia="Calibri" w:hAnsi="Times New Roman" w:cs="Times New Roman"/>
          <w:bCs/>
        </w:rPr>
        <w:t xml:space="preserve"> od této </w:t>
      </w:r>
      <w:r>
        <w:rPr>
          <w:rFonts w:ascii="Times New Roman" w:eastAsia="Calibri" w:hAnsi="Times New Roman" w:cs="Times New Roman"/>
          <w:bCs/>
        </w:rPr>
        <w:t>d</w:t>
      </w:r>
      <w:r w:rsidRPr="00EF5DDB">
        <w:rPr>
          <w:rFonts w:ascii="Times New Roman" w:eastAsia="Calibri" w:hAnsi="Times New Roman" w:cs="Times New Roman"/>
          <w:bCs/>
        </w:rPr>
        <w:t xml:space="preserve">ohody </w:t>
      </w:r>
      <w:r>
        <w:rPr>
          <w:rFonts w:ascii="Times New Roman" w:eastAsia="Calibri" w:hAnsi="Times New Roman" w:cs="Times New Roman"/>
          <w:bCs/>
        </w:rPr>
        <w:t xml:space="preserve">o narovnání </w:t>
      </w:r>
      <w:r w:rsidRPr="00EF5DDB">
        <w:rPr>
          <w:rFonts w:ascii="Times New Roman" w:eastAsia="Calibri" w:hAnsi="Times New Roman" w:cs="Times New Roman"/>
          <w:bCs/>
        </w:rPr>
        <w:t xml:space="preserve">odstoupit. </w:t>
      </w:r>
    </w:p>
    <w:p w14:paraId="2278EBA7" w14:textId="77777777" w:rsidR="0039136E" w:rsidRPr="00DC0532" w:rsidRDefault="0039136E" w:rsidP="0039136E">
      <w:pPr>
        <w:pStyle w:val="Default"/>
        <w:jc w:val="both"/>
        <w:rPr>
          <w:rFonts w:ascii="Times New Roman" w:eastAsia="Calibri" w:hAnsi="Times New Roman" w:cs="Times New Roman"/>
          <w:bCs/>
        </w:rPr>
      </w:pPr>
    </w:p>
    <w:p w14:paraId="036D507E" w14:textId="78A21157" w:rsidR="00FD57C0" w:rsidRDefault="00FD57C0" w:rsidP="00D35311">
      <w:pPr>
        <w:jc w:val="both"/>
      </w:pPr>
    </w:p>
    <w:p w14:paraId="34583854" w14:textId="1DF95679" w:rsidR="00E366BD" w:rsidRDefault="00E366BD" w:rsidP="00282760">
      <w:pPr>
        <w:jc w:val="both"/>
        <w:rPr>
          <w:b/>
          <w:bCs/>
          <w:u w:val="single"/>
        </w:rPr>
      </w:pPr>
      <w:r w:rsidRPr="00E366BD">
        <w:rPr>
          <w:b/>
          <w:bCs/>
          <w:u w:val="single"/>
        </w:rPr>
        <w:t>Právní rozbor</w:t>
      </w:r>
    </w:p>
    <w:p w14:paraId="017733A8" w14:textId="77777777" w:rsidR="00E366BD" w:rsidRPr="00E366BD" w:rsidRDefault="00E366BD" w:rsidP="00282760">
      <w:pPr>
        <w:jc w:val="both"/>
        <w:rPr>
          <w:b/>
          <w:bCs/>
          <w:u w:val="single"/>
        </w:rPr>
      </w:pPr>
    </w:p>
    <w:p w14:paraId="0560A1FD" w14:textId="32D0853C" w:rsidR="0053742F" w:rsidRPr="00936D2E" w:rsidRDefault="00E366BD" w:rsidP="00282760">
      <w:pPr>
        <w:jc w:val="both"/>
        <w:rPr>
          <w:shd w:val="clear" w:color="auto" w:fill="FFFFFF"/>
        </w:rPr>
      </w:pPr>
      <w:r>
        <w:t>Jak již bylo uvedeno výše, s</w:t>
      </w:r>
      <w:r w:rsidR="008B73B7" w:rsidRPr="00936D2E">
        <w:t>polečnost vstoupila dne 1.</w:t>
      </w:r>
      <w:r w:rsidR="00F747F3">
        <w:t xml:space="preserve"> </w:t>
      </w:r>
      <w:r w:rsidR="008B73B7" w:rsidRPr="00936D2E">
        <w:t>6.</w:t>
      </w:r>
      <w:r w:rsidR="00F747F3">
        <w:t xml:space="preserve"> </w:t>
      </w:r>
      <w:r w:rsidR="008B73B7" w:rsidRPr="00936D2E">
        <w:t>2022</w:t>
      </w:r>
      <w:r w:rsidR="00D4407D" w:rsidRPr="00936D2E">
        <w:t xml:space="preserve"> do likvidace</w:t>
      </w:r>
      <w:r w:rsidR="008B73B7" w:rsidRPr="00936D2E">
        <w:t>, což znamená, že k tomuto</w:t>
      </w:r>
      <w:r w:rsidR="00D4407D" w:rsidRPr="00936D2E">
        <w:t xml:space="preserve"> dni</w:t>
      </w:r>
      <w:r w:rsidR="008B73B7" w:rsidRPr="00936D2E">
        <w:t xml:space="preserve"> </w:t>
      </w:r>
      <w:r w:rsidR="00D4407D" w:rsidRPr="00936D2E">
        <w:t xml:space="preserve">je </w:t>
      </w:r>
      <w:r w:rsidR="002F03C2" w:rsidRPr="00936D2E">
        <w:t xml:space="preserve">společnost </w:t>
      </w:r>
      <w:r w:rsidR="00D4407D" w:rsidRPr="00936D2E">
        <w:t xml:space="preserve">zrušena. </w:t>
      </w:r>
      <w:r w:rsidR="00040DE3" w:rsidRPr="00936D2E">
        <w:t xml:space="preserve">Samotná </w:t>
      </w:r>
      <w:r w:rsidR="00040DE3" w:rsidRPr="00936D2E">
        <w:rPr>
          <w:shd w:val="clear" w:color="auto" w:fill="FFFFFF"/>
        </w:rPr>
        <w:t>l</w:t>
      </w:r>
      <w:r w:rsidR="00D4407D" w:rsidRPr="00936D2E">
        <w:rPr>
          <w:shd w:val="clear" w:color="auto" w:fill="FFFFFF"/>
        </w:rPr>
        <w:t xml:space="preserve">ikvidace </w:t>
      </w:r>
      <w:r w:rsidR="002F03C2" w:rsidRPr="00936D2E">
        <w:rPr>
          <w:shd w:val="clear" w:color="auto" w:fill="FFFFFF"/>
        </w:rPr>
        <w:t xml:space="preserve">představuje </w:t>
      </w:r>
      <w:r w:rsidR="00D4407D" w:rsidRPr="00936D2E">
        <w:rPr>
          <w:shd w:val="clear" w:color="auto" w:fill="FFFFFF"/>
        </w:rPr>
        <w:t xml:space="preserve">proces, který nastupuje </w:t>
      </w:r>
      <w:r w:rsidR="00040DE3" w:rsidRPr="00936D2E">
        <w:rPr>
          <w:shd w:val="clear" w:color="auto" w:fill="FFFFFF"/>
        </w:rPr>
        <w:t>po zrušení obchodní společnosti</w:t>
      </w:r>
      <w:r w:rsidR="002F03C2" w:rsidRPr="00936D2E">
        <w:rPr>
          <w:shd w:val="clear" w:color="auto" w:fill="FFFFFF"/>
        </w:rPr>
        <w:t xml:space="preserve"> a</w:t>
      </w:r>
      <w:r w:rsidR="00D4407D" w:rsidRPr="00936D2E">
        <w:rPr>
          <w:shd w:val="clear" w:color="auto" w:fill="FFFFFF"/>
        </w:rPr>
        <w:t xml:space="preserve"> </w:t>
      </w:r>
      <w:r w:rsidR="002F03C2" w:rsidRPr="00936D2E">
        <w:rPr>
          <w:shd w:val="clear" w:color="auto" w:fill="FFFFFF"/>
        </w:rPr>
        <w:t>h</w:t>
      </w:r>
      <w:r w:rsidR="008B73B7" w:rsidRPr="00936D2E">
        <w:rPr>
          <w:shd w:val="clear" w:color="auto" w:fill="FFFFFF"/>
        </w:rPr>
        <w:t>lavním cílem je</w:t>
      </w:r>
      <w:r w:rsidR="00D4407D" w:rsidRPr="00936D2E">
        <w:rPr>
          <w:shd w:val="clear" w:color="auto" w:fill="FFFFFF"/>
        </w:rPr>
        <w:t xml:space="preserve"> vypořádat majetek a </w:t>
      </w:r>
      <w:r w:rsidR="00040DE3" w:rsidRPr="00936D2E">
        <w:rPr>
          <w:shd w:val="clear" w:color="auto" w:fill="FFFFFF"/>
        </w:rPr>
        <w:t>závazky</w:t>
      </w:r>
      <w:r w:rsidR="00D4407D" w:rsidRPr="00936D2E">
        <w:rPr>
          <w:shd w:val="clear" w:color="auto" w:fill="FFFFFF"/>
        </w:rPr>
        <w:t xml:space="preserve"> společnosti předtím, než zanikne jako subjekt práva.</w:t>
      </w:r>
      <w:r w:rsidR="00040DE3" w:rsidRPr="00936D2E">
        <w:t xml:space="preserve"> </w:t>
      </w:r>
      <w:r w:rsidR="002F03C2" w:rsidRPr="00936D2E">
        <w:t>Likvidace n</w:t>
      </w:r>
      <w:r w:rsidR="008B73B7" w:rsidRPr="00936D2E">
        <w:t>a rozdíl od insolvenčního řízení</w:t>
      </w:r>
      <w:r w:rsidR="00C75964" w:rsidRPr="00936D2E">
        <w:t xml:space="preserve"> (dále jen „IŘ“)</w:t>
      </w:r>
      <w:r w:rsidR="008B73B7" w:rsidRPr="00936D2E">
        <w:t xml:space="preserve">, </w:t>
      </w:r>
      <w:r w:rsidR="00B45F03" w:rsidRPr="00936D2E">
        <w:t xml:space="preserve">kde se pohledávky </w:t>
      </w:r>
      <w:r w:rsidR="00B45F03" w:rsidRPr="00936D2E">
        <w:rPr>
          <w:shd w:val="clear" w:color="auto" w:fill="FFFFFF"/>
        </w:rPr>
        <w:t xml:space="preserve">uspokojují – zásadně </w:t>
      </w:r>
      <w:r w:rsidR="007E1C97" w:rsidRPr="00936D2E">
        <w:rPr>
          <w:shd w:val="clear" w:color="auto" w:fill="FFFFFF"/>
        </w:rPr>
        <w:t>poměrně</w:t>
      </w:r>
      <w:r w:rsidR="003B1251" w:rsidRPr="00936D2E">
        <w:rPr>
          <w:shd w:val="clear" w:color="auto" w:fill="FFFFFF"/>
        </w:rPr>
        <w:t>,</w:t>
      </w:r>
      <w:r w:rsidR="007E1C97" w:rsidRPr="00936D2E">
        <w:rPr>
          <w:shd w:val="clear" w:color="auto" w:fill="FFFFFF"/>
        </w:rPr>
        <w:t xml:space="preserve"> je</w:t>
      </w:r>
      <w:r w:rsidR="00A700B7" w:rsidRPr="00936D2E">
        <w:t xml:space="preserve"> </w:t>
      </w:r>
      <w:r w:rsidR="008B73B7" w:rsidRPr="00936D2E">
        <w:rPr>
          <w:shd w:val="clear" w:color="auto" w:fill="FFFFFF"/>
        </w:rPr>
        <w:t xml:space="preserve">proces, který je určen pro společnosti </w:t>
      </w:r>
      <w:r w:rsidR="008B73B7" w:rsidRPr="00936D2E">
        <w:rPr>
          <w:b/>
          <w:bCs/>
          <w:u w:val="single"/>
          <w:shd w:val="clear" w:color="auto" w:fill="FFFFFF"/>
        </w:rPr>
        <w:t>disponující dostatkem majetku pro plné uspokojení všech svých věřitelů</w:t>
      </w:r>
      <w:r w:rsidR="008B73B7" w:rsidRPr="00936D2E">
        <w:rPr>
          <w:shd w:val="clear" w:color="auto" w:fill="FFFFFF"/>
        </w:rPr>
        <w:t>.</w:t>
      </w:r>
      <w:r w:rsidR="002F03C2" w:rsidRPr="00936D2E">
        <w:rPr>
          <w:shd w:val="clear" w:color="auto" w:fill="FFFFFF"/>
        </w:rPr>
        <w:t xml:space="preserve"> </w:t>
      </w:r>
      <w:r w:rsidR="00A700B7" w:rsidRPr="00936D2E">
        <w:t xml:space="preserve">Pokud </w:t>
      </w:r>
      <w:r w:rsidR="002F03C2" w:rsidRPr="00936D2E">
        <w:t xml:space="preserve">však </w:t>
      </w:r>
      <w:r w:rsidR="0053742F" w:rsidRPr="00936D2E">
        <w:t xml:space="preserve">likvidátor </w:t>
      </w:r>
      <w:r w:rsidR="002F03C2" w:rsidRPr="00936D2E">
        <w:t xml:space="preserve">zjistí </w:t>
      </w:r>
      <w:r w:rsidR="0053742F" w:rsidRPr="00936D2E">
        <w:t xml:space="preserve">v průběhu likvidace, že </w:t>
      </w:r>
      <w:r w:rsidR="003B1251" w:rsidRPr="00936D2E">
        <w:t>společnost</w:t>
      </w:r>
      <w:r w:rsidR="0053742F" w:rsidRPr="00936D2E">
        <w:t xml:space="preserve"> je v úpadku, </w:t>
      </w:r>
      <w:r w:rsidR="00A700B7" w:rsidRPr="00936D2E">
        <w:t xml:space="preserve">je povinen dle </w:t>
      </w:r>
      <w:hyperlink r:id="rId8" w:history="1">
        <w:r w:rsidR="00A700B7" w:rsidRPr="00936D2E">
          <w:rPr>
            <w:rStyle w:val="Hypertextovodkaz"/>
            <w:color w:val="auto"/>
            <w:shd w:val="clear" w:color="auto" w:fill="FFFFFF"/>
          </w:rPr>
          <w:t xml:space="preserve">§ 200 </w:t>
        </w:r>
        <w:r w:rsidR="00217380" w:rsidRPr="00936D2E">
          <w:rPr>
            <w:rStyle w:val="Hypertextovodkaz"/>
            <w:color w:val="auto"/>
            <w:shd w:val="clear" w:color="auto" w:fill="FFFFFF"/>
          </w:rPr>
          <w:t>zákona</w:t>
        </w:r>
      </w:hyperlink>
      <w:r w:rsidR="00217380" w:rsidRPr="00936D2E">
        <w:rPr>
          <w:rStyle w:val="Hypertextovodkaz"/>
          <w:color w:val="auto"/>
          <w:shd w:val="clear" w:color="auto" w:fill="FFFFFF"/>
        </w:rPr>
        <w:t xml:space="preserve"> č. 89/2012 Sb., občanský zákoník, ve znění pozdějších předpisů</w:t>
      </w:r>
      <w:r w:rsidR="00A700B7" w:rsidRPr="00936D2E">
        <w:rPr>
          <w:shd w:val="clear" w:color="auto" w:fill="FFFFFF"/>
        </w:rPr>
        <w:t xml:space="preserve"> </w:t>
      </w:r>
      <w:r w:rsidR="0053742F" w:rsidRPr="00936D2E">
        <w:t>pod</w:t>
      </w:r>
      <w:r w:rsidR="00A700B7" w:rsidRPr="00936D2E">
        <w:t>at</w:t>
      </w:r>
      <w:r w:rsidR="0053742F" w:rsidRPr="00936D2E">
        <w:t xml:space="preserve"> bez zbytečného odkladu insolvenční návrh</w:t>
      </w:r>
      <w:r w:rsidR="0089510F" w:rsidRPr="00936D2E">
        <w:rPr>
          <w:shd w:val="clear" w:color="auto" w:fill="FFFFFF"/>
        </w:rPr>
        <w:t>. Likvidátor je oprávněn (nikoliv povinen) podat insolvenční návrh též v případě, že se likvidovaná společnost nachází v hrozícím úpadku (</w:t>
      </w:r>
      <w:hyperlink r:id="rId9" w:history="1">
        <w:r w:rsidR="0089510F" w:rsidRPr="00936D2E">
          <w:rPr>
            <w:rStyle w:val="Hypertextovodkaz"/>
            <w:color w:val="auto"/>
            <w:u w:val="none"/>
            <w:shd w:val="clear" w:color="auto" w:fill="FFFFFF"/>
          </w:rPr>
          <w:t>§ 3</w:t>
        </w:r>
      </w:hyperlink>
      <w:r w:rsidR="0089510F" w:rsidRPr="00936D2E">
        <w:rPr>
          <w:shd w:val="clear" w:color="auto" w:fill="FFFFFF"/>
        </w:rPr>
        <w:t xml:space="preserve"> odst. 5 </w:t>
      </w:r>
      <w:r w:rsidR="00217380" w:rsidRPr="00936D2E">
        <w:rPr>
          <w:shd w:val="clear" w:color="auto" w:fill="FFFFFF"/>
        </w:rPr>
        <w:t>zákona č. 182/2006 Sb., zákon o úpadku a způsobech jeho řešení (insolvenční zákon)</w:t>
      </w:r>
      <w:r w:rsidR="007E1C97" w:rsidRPr="00936D2E">
        <w:rPr>
          <w:shd w:val="clear" w:color="auto" w:fill="FFFFFF"/>
        </w:rPr>
        <w:t xml:space="preserve"> (dále jen „IZ“)</w:t>
      </w:r>
      <w:r w:rsidR="0089510F" w:rsidRPr="00936D2E">
        <w:rPr>
          <w:shd w:val="clear" w:color="auto" w:fill="FFFFFF"/>
        </w:rPr>
        <w:t>.</w:t>
      </w:r>
    </w:p>
    <w:p w14:paraId="59FE60F3" w14:textId="0EDA1D60" w:rsidR="00A700B7" w:rsidRPr="00936D2E" w:rsidRDefault="00A700B7" w:rsidP="00282760">
      <w:pPr>
        <w:jc w:val="both"/>
      </w:pPr>
    </w:p>
    <w:p w14:paraId="60A5B035" w14:textId="6DC1B4A7" w:rsidR="00A700B7" w:rsidRPr="00936D2E" w:rsidRDefault="00A700B7" w:rsidP="00282760">
      <w:pPr>
        <w:jc w:val="both"/>
      </w:pPr>
      <w:r w:rsidRPr="00936D2E">
        <w:t xml:space="preserve">SMO eviduje v současnosti za společností pohledávku z titulu smluvní pokuty ve výši </w:t>
      </w:r>
      <w:r w:rsidR="003D4DE1" w:rsidRPr="00311A7A">
        <w:t>1</w:t>
      </w:r>
      <w:r w:rsidR="00F747F3">
        <w:t> </w:t>
      </w:r>
      <w:r w:rsidR="003D4DE1" w:rsidRPr="00F747F3">
        <w:t>753</w:t>
      </w:r>
      <w:r w:rsidR="00F747F3">
        <w:t> </w:t>
      </w:r>
      <w:r w:rsidR="003D4DE1" w:rsidRPr="00F747F3">
        <w:t>020</w:t>
      </w:r>
      <w:r w:rsidR="003D4DE1" w:rsidRPr="00311A7A">
        <w:t>,</w:t>
      </w:r>
      <w:r w:rsidR="00F747F3">
        <w:t>-</w:t>
      </w:r>
      <w:r w:rsidR="003D4DE1" w:rsidRPr="00311A7A">
        <w:t xml:space="preserve"> </w:t>
      </w:r>
      <w:r w:rsidRPr="00936D2E">
        <w:t xml:space="preserve">Kč a pohledávku z titulu náhrady škody ve výši </w:t>
      </w:r>
      <w:r w:rsidR="002E3805" w:rsidRPr="002E3805">
        <w:t xml:space="preserve">12 506 </w:t>
      </w:r>
      <w:r w:rsidR="00B721DF" w:rsidRPr="002E3805">
        <w:t>717,</w:t>
      </w:r>
      <w:r w:rsidR="002E3805" w:rsidRPr="002E3805">
        <w:t>- Kč</w:t>
      </w:r>
      <w:r w:rsidR="00B23DA3" w:rsidRPr="00936D2E">
        <w:t xml:space="preserve">. </w:t>
      </w:r>
      <w:r w:rsidR="00361412" w:rsidRPr="00936D2E">
        <w:t xml:space="preserve">Lhůta pro </w:t>
      </w:r>
      <w:r w:rsidR="00361412" w:rsidRPr="00936D2E">
        <w:lastRenderedPageBreak/>
        <w:t>přihlášení pohledávek do likvidace je součástí výzvy věřitelů zveřejňované v Obchodním věstníku. Je minimálně tříměsíční,</w:t>
      </w:r>
      <w:r w:rsidR="00361412" w:rsidRPr="00936D2E">
        <w:rPr>
          <w:shd w:val="clear" w:color="auto" w:fill="FFFFFF"/>
        </w:rPr>
        <w:t xml:space="preserve"> v daném případě </w:t>
      </w:r>
      <w:r w:rsidR="00361412" w:rsidRPr="002E3805">
        <w:rPr>
          <w:shd w:val="clear" w:color="auto" w:fill="FFFFFF"/>
        </w:rPr>
        <w:t xml:space="preserve">do </w:t>
      </w:r>
      <w:r w:rsidR="002E3805">
        <w:rPr>
          <w:shd w:val="clear" w:color="auto" w:fill="FFFFFF"/>
        </w:rPr>
        <w:t>8.</w:t>
      </w:r>
      <w:r w:rsidR="00361412" w:rsidRPr="002E3805">
        <w:rPr>
          <w:shd w:val="clear" w:color="auto" w:fill="FFFFFF"/>
        </w:rPr>
        <w:t xml:space="preserve"> září 2022</w:t>
      </w:r>
      <w:r w:rsidR="00EF6779">
        <w:rPr>
          <w:shd w:val="clear" w:color="auto" w:fill="FFFFFF"/>
        </w:rPr>
        <w:t>, kdy výše uvedená pohledávka již byla přihlášena</w:t>
      </w:r>
      <w:r w:rsidR="00361412" w:rsidRPr="00936D2E">
        <w:rPr>
          <w:shd w:val="clear" w:color="auto" w:fill="FFFFFF"/>
        </w:rPr>
        <w:t xml:space="preserve">. </w:t>
      </w:r>
    </w:p>
    <w:p w14:paraId="6C4246FC" w14:textId="77777777" w:rsidR="00361412" w:rsidRPr="00936D2E" w:rsidRDefault="00361412" w:rsidP="00282760">
      <w:pPr>
        <w:jc w:val="both"/>
      </w:pPr>
    </w:p>
    <w:p w14:paraId="555F1661" w14:textId="57EE5A6E" w:rsidR="00361412" w:rsidRPr="00936D2E" w:rsidRDefault="0089510F" w:rsidP="00361412">
      <w:pPr>
        <w:jc w:val="both"/>
      </w:pPr>
      <w:r w:rsidRPr="00936D2E">
        <w:t xml:space="preserve">Jak již bylo </w:t>
      </w:r>
      <w:r w:rsidR="003B1251" w:rsidRPr="00936D2E">
        <w:t>výše uvedeno</w:t>
      </w:r>
      <w:r w:rsidRPr="00936D2E">
        <w:t xml:space="preserve">, </w:t>
      </w:r>
      <w:r w:rsidR="00A700B7" w:rsidRPr="00936D2E">
        <w:t>likvidace</w:t>
      </w:r>
      <w:r w:rsidR="00A700B7" w:rsidRPr="00936D2E">
        <w:rPr>
          <w:shd w:val="clear" w:color="auto" w:fill="FFFFFF"/>
        </w:rPr>
        <w:t xml:space="preserve"> je určena pro společnosti s dostatkem majetku, zatímco </w:t>
      </w:r>
      <w:r w:rsidR="00B614D9">
        <w:rPr>
          <w:shd w:val="clear" w:color="auto" w:fill="FFFFFF"/>
        </w:rPr>
        <w:t>IŘ</w:t>
      </w:r>
      <w:r w:rsidR="00A700B7" w:rsidRPr="00936D2E">
        <w:rPr>
          <w:shd w:val="clear" w:color="auto" w:fill="FFFFFF"/>
        </w:rPr>
        <w:t xml:space="preserve"> dopadá na situace majetkové nedostatečnosti.</w:t>
      </w:r>
      <w:r w:rsidRPr="00936D2E">
        <w:rPr>
          <w:shd w:val="clear" w:color="auto" w:fill="FFFFFF"/>
        </w:rPr>
        <w:t xml:space="preserve"> </w:t>
      </w:r>
      <w:r w:rsidR="00361412" w:rsidRPr="00936D2E">
        <w:rPr>
          <w:shd w:val="clear" w:color="auto" w:fill="FFFFFF"/>
        </w:rPr>
        <w:t>Z těchto důvodů si odbor veřejných zakázek vyžádal od společnosti účetní závěrku pro posouzení finanční situace likvidované společnosti (blíže viz „</w:t>
      </w:r>
      <w:r w:rsidR="00361412" w:rsidRPr="00936D2E">
        <w:t>Stanovisko odboru veřejných zakázek“)</w:t>
      </w:r>
      <w:r w:rsidR="00703FE9" w:rsidRPr="00936D2E">
        <w:t>.</w:t>
      </w:r>
    </w:p>
    <w:p w14:paraId="28464CE0" w14:textId="3BEA7A41" w:rsidR="00361412" w:rsidRPr="00936D2E" w:rsidRDefault="00361412" w:rsidP="00974E35">
      <w:pPr>
        <w:pStyle w:val="Normlnweb"/>
        <w:shd w:val="clear" w:color="auto" w:fill="FFFFFF"/>
        <w:spacing w:before="0" w:beforeAutospacing="0" w:after="0" w:afterAutospacing="0"/>
        <w:jc w:val="both"/>
        <w:textAlignment w:val="center"/>
        <w:rPr>
          <w:shd w:val="clear" w:color="auto" w:fill="FFFFFF"/>
        </w:rPr>
      </w:pPr>
    </w:p>
    <w:p w14:paraId="69557C7D" w14:textId="1EEF702D" w:rsidR="00703FE9" w:rsidRPr="00936D2E" w:rsidRDefault="00703FE9" w:rsidP="00703FE9">
      <w:pPr>
        <w:pStyle w:val="Normlnweb"/>
        <w:shd w:val="clear" w:color="auto" w:fill="FFFFFF"/>
        <w:spacing w:before="0" w:beforeAutospacing="0" w:after="0" w:afterAutospacing="0"/>
        <w:jc w:val="both"/>
        <w:textAlignment w:val="center"/>
        <w:rPr>
          <w:shd w:val="clear" w:color="auto" w:fill="FFFFFF"/>
        </w:rPr>
      </w:pPr>
      <w:r w:rsidRPr="00936D2E">
        <w:rPr>
          <w:shd w:val="clear" w:color="auto" w:fill="FFFFFF"/>
        </w:rPr>
        <w:t>Na osobním jednání dne 4.</w:t>
      </w:r>
      <w:r w:rsidR="001D1E9A">
        <w:rPr>
          <w:shd w:val="clear" w:color="auto" w:fill="FFFFFF"/>
        </w:rPr>
        <w:t xml:space="preserve"> </w:t>
      </w:r>
      <w:r w:rsidRPr="00936D2E">
        <w:rPr>
          <w:shd w:val="clear" w:color="auto" w:fill="FFFFFF"/>
        </w:rPr>
        <w:t>5.</w:t>
      </w:r>
      <w:r w:rsidR="001D1E9A">
        <w:rPr>
          <w:shd w:val="clear" w:color="auto" w:fill="FFFFFF"/>
        </w:rPr>
        <w:t xml:space="preserve"> </w:t>
      </w:r>
      <w:r w:rsidRPr="00936D2E">
        <w:rPr>
          <w:shd w:val="clear" w:color="auto" w:fill="FFFFFF"/>
        </w:rPr>
        <w:t xml:space="preserve">2022 bylo ze strany společnosti navrženo řešení v podobě uzavření dohody o narovnání </w:t>
      </w:r>
      <w:r w:rsidRPr="00936D2E">
        <w:t>(dále jen „dohoda“)</w:t>
      </w:r>
      <w:r w:rsidRPr="00936D2E">
        <w:rPr>
          <w:shd w:val="clear" w:color="auto" w:fill="FFFFFF"/>
        </w:rPr>
        <w:t xml:space="preserve">. </w:t>
      </w:r>
      <w:r w:rsidR="002673E3" w:rsidRPr="00936D2E">
        <w:rPr>
          <w:shd w:val="clear" w:color="auto" w:fill="FFFFFF"/>
        </w:rPr>
        <w:t>Narovnání je jeden ze způsobů zániku </w:t>
      </w:r>
      <w:hyperlink r:id="rId10" w:tooltip="Závazek" w:history="1">
        <w:r w:rsidR="002673E3" w:rsidRPr="00936D2E">
          <w:rPr>
            <w:rStyle w:val="Hypertextovodkaz"/>
            <w:color w:val="auto"/>
            <w:u w:val="none"/>
            <w:shd w:val="clear" w:color="auto" w:fill="FFFFFF"/>
          </w:rPr>
          <w:t>závazku</w:t>
        </w:r>
      </w:hyperlink>
      <w:r w:rsidR="002673E3" w:rsidRPr="00936D2E">
        <w:rPr>
          <w:shd w:val="clear" w:color="auto" w:fill="FFFFFF"/>
        </w:rPr>
        <w:t>, ke kterému dojde tehdy, jestliže se </w:t>
      </w:r>
      <w:hyperlink r:id="rId11" w:tooltip="Věřitel" w:history="1">
        <w:r w:rsidR="002673E3" w:rsidRPr="00936D2E">
          <w:rPr>
            <w:rStyle w:val="Hypertextovodkaz"/>
            <w:color w:val="auto"/>
            <w:u w:val="none"/>
            <w:shd w:val="clear" w:color="auto" w:fill="FFFFFF"/>
          </w:rPr>
          <w:t>věřitel</w:t>
        </w:r>
      </w:hyperlink>
      <w:r w:rsidR="002673E3" w:rsidRPr="00936D2E">
        <w:rPr>
          <w:shd w:val="clear" w:color="auto" w:fill="FFFFFF"/>
        </w:rPr>
        <w:t> a </w:t>
      </w:r>
      <w:hyperlink r:id="rId12" w:tooltip="Dlužník" w:history="1">
        <w:r w:rsidR="002673E3" w:rsidRPr="00936D2E">
          <w:rPr>
            <w:rStyle w:val="Hypertextovodkaz"/>
            <w:color w:val="auto"/>
            <w:u w:val="none"/>
            <w:shd w:val="clear" w:color="auto" w:fill="FFFFFF"/>
          </w:rPr>
          <w:t>dlužník</w:t>
        </w:r>
      </w:hyperlink>
      <w:r w:rsidR="002673E3" w:rsidRPr="00936D2E">
        <w:rPr>
          <w:shd w:val="clear" w:color="auto" w:fill="FFFFFF"/>
        </w:rPr>
        <w:t xml:space="preserve"> dohodnou, že mezi nimi sporná nebo pochybná práva a povinnosti budou vyjasněna a upřesněna. Tím dojde </w:t>
      </w:r>
      <w:r w:rsidR="002673E3" w:rsidRPr="00936D2E">
        <w:rPr>
          <w:b/>
          <w:bCs/>
          <w:u w:val="single"/>
          <w:shd w:val="clear" w:color="auto" w:fill="FFFFFF"/>
        </w:rPr>
        <w:t>k zániku dosavadního závazku</w:t>
      </w:r>
      <w:r w:rsidR="002673E3" w:rsidRPr="00936D2E">
        <w:rPr>
          <w:shd w:val="clear" w:color="auto" w:fill="FFFFFF"/>
        </w:rPr>
        <w:t>, který bude nahrazen závazkem novým. Účelem narovnání je odstranit mezi nimi spory o platnost, důvod nebo obsah původního závazku a předejít tak případnému </w:t>
      </w:r>
      <w:hyperlink r:id="rId13" w:tooltip="Soud" w:history="1">
        <w:r w:rsidR="002673E3" w:rsidRPr="00936D2E">
          <w:rPr>
            <w:rStyle w:val="Hypertextovodkaz"/>
            <w:color w:val="auto"/>
            <w:u w:val="none"/>
            <w:shd w:val="clear" w:color="auto" w:fill="FFFFFF"/>
          </w:rPr>
          <w:t>soudnímu</w:t>
        </w:r>
      </w:hyperlink>
      <w:r w:rsidR="002673E3" w:rsidRPr="00936D2E">
        <w:rPr>
          <w:shd w:val="clear" w:color="auto" w:fill="FFFFFF"/>
        </w:rPr>
        <w:t xml:space="preserve"> sporu. </w:t>
      </w:r>
    </w:p>
    <w:p w14:paraId="7E0F5B1D" w14:textId="77777777" w:rsidR="00703FE9" w:rsidRPr="00936D2E" w:rsidRDefault="00703FE9" w:rsidP="00703FE9">
      <w:pPr>
        <w:pStyle w:val="Normlnweb"/>
        <w:shd w:val="clear" w:color="auto" w:fill="FFFFFF"/>
        <w:spacing w:before="0" w:beforeAutospacing="0" w:after="0" w:afterAutospacing="0"/>
        <w:jc w:val="both"/>
        <w:textAlignment w:val="center"/>
        <w:rPr>
          <w:shd w:val="clear" w:color="auto" w:fill="FFFFFF"/>
        </w:rPr>
      </w:pPr>
    </w:p>
    <w:p w14:paraId="3F2209A0" w14:textId="296C2F09" w:rsidR="00873B3D" w:rsidRPr="00936D2E" w:rsidRDefault="00B614D9" w:rsidP="00703FE9">
      <w:pPr>
        <w:pStyle w:val="Normlnweb"/>
        <w:shd w:val="clear" w:color="auto" w:fill="FFFFFF"/>
        <w:spacing w:before="0" w:beforeAutospacing="0" w:after="0" w:afterAutospacing="0"/>
        <w:jc w:val="both"/>
        <w:textAlignment w:val="center"/>
        <w:rPr>
          <w:shd w:val="clear" w:color="auto" w:fill="FFFFFF"/>
        </w:rPr>
      </w:pPr>
      <w:r>
        <w:rPr>
          <w:shd w:val="clear" w:color="auto" w:fill="FFFFFF"/>
        </w:rPr>
        <w:t>D</w:t>
      </w:r>
      <w:r w:rsidR="002673E3" w:rsidRPr="00936D2E">
        <w:rPr>
          <w:shd w:val="clear" w:color="auto" w:fill="FFFFFF"/>
        </w:rPr>
        <w:t>le předložené mimořádn</w:t>
      </w:r>
      <w:r>
        <w:rPr>
          <w:shd w:val="clear" w:color="auto" w:fill="FFFFFF"/>
        </w:rPr>
        <w:t>é</w:t>
      </w:r>
      <w:r w:rsidR="002673E3" w:rsidRPr="00936D2E">
        <w:rPr>
          <w:shd w:val="clear" w:color="auto" w:fill="FFFFFF"/>
        </w:rPr>
        <w:t xml:space="preserve"> účetní závěrk</w:t>
      </w:r>
      <w:r>
        <w:rPr>
          <w:shd w:val="clear" w:color="auto" w:fill="FFFFFF"/>
        </w:rPr>
        <w:t>y</w:t>
      </w:r>
      <w:r w:rsidR="002673E3" w:rsidRPr="00936D2E">
        <w:rPr>
          <w:shd w:val="clear" w:color="auto" w:fill="FFFFFF"/>
        </w:rPr>
        <w:t xml:space="preserve"> k</w:t>
      </w:r>
      <w:r>
        <w:rPr>
          <w:shd w:val="clear" w:color="auto" w:fill="FFFFFF"/>
        </w:rPr>
        <w:t>e dni</w:t>
      </w:r>
      <w:r w:rsidR="002673E3" w:rsidRPr="00936D2E">
        <w:rPr>
          <w:shd w:val="clear" w:color="auto" w:fill="FFFFFF"/>
        </w:rPr>
        <w:t xml:space="preserve"> 31. </w:t>
      </w:r>
      <w:r>
        <w:rPr>
          <w:shd w:val="clear" w:color="auto" w:fill="FFFFFF"/>
        </w:rPr>
        <w:t>5.</w:t>
      </w:r>
      <w:r w:rsidR="002673E3" w:rsidRPr="00936D2E">
        <w:rPr>
          <w:shd w:val="clear" w:color="auto" w:fill="FFFFFF"/>
        </w:rPr>
        <w:t xml:space="preserve"> 2022 </w:t>
      </w:r>
      <w:r>
        <w:rPr>
          <w:shd w:val="clear" w:color="auto" w:fill="FFFFFF"/>
        </w:rPr>
        <w:t xml:space="preserve">je zřejmé, že </w:t>
      </w:r>
      <w:r w:rsidR="002673E3" w:rsidRPr="00936D2E">
        <w:rPr>
          <w:shd w:val="clear" w:color="auto" w:fill="FFFFFF"/>
        </w:rPr>
        <w:t>společnost nedisponuje dostatkem majetku pro plné uspokojení všech svých věřitelů. V</w:t>
      </w:r>
      <w:r>
        <w:rPr>
          <w:shd w:val="clear" w:color="auto" w:fill="FFFFFF"/>
        </w:rPr>
        <w:t> </w:t>
      </w:r>
      <w:r w:rsidR="002673E3" w:rsidRPr="00936D2E">
        <w:rPr>
          <w:shd w:val="clear" w:color="auto" w:fill="FFFFFF"/>
        </w:rPr>
        <w:t>takovém případě by měl likvidátor podat insolvenční návrh, příp. tak může učinit kterékoliv věřitel</w:t>
      </w:r>
      <w:r>
        <w:rPr>
          <w:shd w:val="clear" w:color="auto" w:fill="FFFFFF"/>
        </w:rPr>
        <w:t xml:space="preserve"> (SMO)</w:t>
      </w:r>
      <w:r w:rsidR="002673E3" w:rsidRPr="00936D2E">
        <w:rPr>
          <w:shd w:val="clear" w:color="auto" w:fill="FFFFFF"/>
        </w:rPr>
        <w:t xml:space="preserve">. </w:t>
      </w:r>
      <w:r w:rsidR="007431C5" w:rsidRPr="00936D2E">
        <w:rPr>
          <w:shd w:val="clear" w:color="auto" w:fill="FFFFFF"/>
        </w:rPr>
        <w:t xml:space="preserve"> Případným v</w:t>
      </w:r>
      <w:r w:rsidR="002673E3" w:rsidRPr="00936D2E">
        <w:rPr>
          <w:shd w:val="clear" w:color="auto" w:fill="FFFFFF"/>
        </w:rPr>
        <w:t xml:space="preserve">stupem společnosti do </w:t>
      </w:r>
      <w:r w:rsidR="00873B3D" w:rsidRPr="00936D2E">
        <w:rPr>
          <w:shd w:val="clear" w:color="auto" w:fill="FFFFFF"/>
        </w:rPr>
        <w:t>IŘ</w:t>
      </w:r>
      <w:r w:rsidR="002673E3" w:rsidRPr="00936D2E">
        <w:rPr>
          <w:shd w:val="clear" w:color="auto" w:fill="FFFFFF"/>
        </w:rPr>
        <w:t xml:space="preserve"> </w:t>
      </w:r>
      <w:r w:rsidR="0078134E" w:rsidRPr="00936D2E">
        <w:rPr>
          <w:shd w:val="clear" w:color="auto" w:fill="FFFFFF"/>
        </w:rPr>
        <w:t>vyvstává</w:t>
      </w:r>
      <w:r w:rsidR="002673E3" w:rsidRPr="00936D2E">
        <w:rPr>
          <w:shd w:val="clear" w:color="auto" w:fill="FFFFFF"/>
        </w:rPr>
        <w:t xml:space="preserve"> celá řada otázek. </w:t>
      </w:r>
    </w:p>
    <w:p w14:paraId="57203A77" w14:textId="77777777" w:rsidR="00873B3D" w:rsidRPr="00936D2E" w:rsidRDefault="00873B3D" w:rsidP="00703FE9">
      <w:pPr>
        <w:pStyle w:val="Normlnweb"/>
        <w:shd w:val="clear" w:color="auto" w:fill="FFFFFF"/>
        <w:spacing w:before="0" w:beforeAutospacing="0" w:after="0" w:afterAutospacing="0"/>
        <w:jc w:val="both"/>
        <w:textAlignment w:val="center"/>
        <w:rPr>
          <w:shd w:val="clear" w:color="auto" w:fill="FFFFFF"/>
        </w:rPr>
      </w:pPr>
    </w:p>
    <w:p w14:paraId="0CE946A9" w14:textId="79D81167" w:rsidR="0078134E" w:rsidRPr="00936D2E" w:rsidRDefault="00873B3D" w:rsidP="00703FE9">
      <w:pPr>
        <w:pStyle w:val="Normlnweb"/>
        <w:shd w:val="clear" w:color="auto" w:fill="FFFFFF"/>
        <w:spacing w:before="0" w:beforeAutospacing="0" w:after="0" w:afterAutospacing="0"/>
        <w:jc w:val="both"/>
        <w:textAlignment w:val="center"/>
        <w:rPr>
          <w:shd w:val="clear" w:color="auto" w:fill="FFFFFF"/>
        </w:rPr>
      </w:pPr>
      <w:r w:rsidRPr="001870D6">
        <w:rPr>
          <w:shd w:val="clear" w:color="auto" w:fill="FFFFFF"/>
        </w:rPr>
        <w:t>Primárně je nutno upozornit na skutečnost, že v</w:t>
      </w:r>
      <w:r w:rsidR="002673E3" w:rsidRPr="001870D6">
        <w:rPr>
          <w:shd w:val="clear" w:color="auto" w:fill="FFFFFF"/>
        </w:rPr>
        <w:t xml:space="preserve"> souladu </w:t>
      </w:r>
      <w:r w:rsidRPr="001870D6">
        <w:rPr>
          <w:shd w:val="clear" w:color="auto" w:fill="FFFFFF"/>
        </w:rPr>
        <w:t>s IZ</w:t>
      </w:r>
      <w:r w:rsidR="002673E3" w:rsidRPr="001870D6">
        <w:rPr>
          <w:shd w:val="clear" w:color="auto" w:fill="FFFFFF"/>
        </w:rPr>
        <w:t xml:space="preserve"> §241 odst. 4 má insolvenční správce</w:t>
      </w:r>
      <w:r w:rsidRPr="001870D6">
        <w:rPr>
          <w:shd w:val="clear" w:color="auto" w:fill="FFFFFF"/>
        </w:rPr>
        <w:t xml:space="preserve"> (dále jen „IS“)</w:t>
      </w:r>
      <w:r w:rsidR="002673E3" w:rsidRPr="001870D6">
        <w:rPr>
          <w:shd w:val="clear" w:color="auto" w:fill="FFFFFF"/>
        </w:rPr>
        <w:t xml:space="preserve"> možnost odporovat</w:t>
      </w:r>
      <w:r w:rsidR="002673E3" w:rsidRPr="001870D6">
        <w:rPr>
          <w:b/>
          <w:bCs/>
          <w:shd w:val="clear" w:color="auto" w:fill="FFFFFF"/>
        </w:rPr>
        <w:t xml:space="preserve"> </w:t>
      </w:r>
      <w:r w:rsidR="002673E3" w:rsidRPr="001870D6">
        <w:rPr>
          <w:shd w:val="clear" w:color="auto" w:fill="FFFFFF"/>
        </w:rPr>
        <w:t>zvýhodňují</w:t>
      </w:r>
      <w:r w:rsidR="001D469B">
        <w:rPr>
          <w:shd w:val="clear" w:color="auto" w:fill="FFFFFF"/>
        </w:rPr>
        <w:t>cí</w:t>
      </w:r>
      <w:r w:rsidR="002673E3" w:rsidRPr="001870D6">
        <w:rPr>
          <w:shd w:val="clear" w:color="auto" w:fill="FFFFFF"/>
        </w:rPr>
        <w:t xml:space="preserve"> právní úkon, který</w:t>
      </w:r>
      <w:r w:rsidR="0078134E" w:rsidRPr="001870D6">
        <w:rPr>
          <w:shd w:val="clear" w:color="auto" w:fill="FFFFFF"/>
        </w:rPr>
        <w:t xml:space="preserve"> </w:t>
      </w:r>
      <w:r w:rsidR="001870D6" w:rsidRPr="001870D6">
        <w:rPr>
          <w:shd w:val="clear" w:color="auto" w:fill="FFFFFF"/>
        </w:rPr>
        <w:t>společnost učinila</w:t>
      </w:r>
      <w:r w:rsidR="002673E3" w:rsidRPr="001870D6">
        <w:rPr>
          <w:shd w:val="clear" w:color="auto" w:fill="FFFFFF"/>
        </w:rPr>
        <w:t xml:space="preserve"> vůči věřiteli v době 1 roku před zahájením insolvenčního řízení. </w:t>
      </w:r>
      <w:r w:rsidR="007431C5" w:rsidRPr="001870D6">
        <w:t>IS může případnou uzavřenou dohodu vyhodnotit jako zvýhodňující akt dlužníka</w:t>
      </w:r>
      <w:r w:rsidR="000D13B2" w:rsidRPr="001870D6">
        <w:t xml:space="preserve"> (společnosti)</w:t>
      </w:r>
      <w:r w:rsidR="007431C5" w:rsidRPr="001870D6">
        <w:t xml:space="preserve"> vůči věřiteli. </w:t>
      </w:r>
      <w:r w:rsidR="007431C5" w:rsidRPr="00D21895">
        <w:rPr>
          <w:b/>
          <w:bCs/>
        </w:rPr>
        <w:t xml:space="preserve">SMO není známo, zda budou skutečně uspokojeni všichni ostatní věřitelé, tak aby mohla být likvidace ukončena </w:t>
      </w:r>
      <w:r w:rsidR="00936D2E" w:rsidRPr="00D21895">
        <w:rPr>
          <w:b/>
          <w:bCs/>
        </w:rPr>
        <w:t>a nebyla zde reálna hrozba IŘ.</w:t>
      </w:r>
      <w:r w:rsidR="00936D2E" w:rsidRPr="00936D2E">
        <w:t xml:space="preserve"> </w:t>
      </w:r>
    </w:p>
    <w:p w14:paraId="3367CFCA" w14:textId="77777777" w:rsidR="0078134E" w:rsidRPr="00936D2E" w:rsidRDefault="0078134E" w:rsidP="00703FE9">
      <w:pPr>
        <w:pStyle w:val="Normlnweb"/>
        <w:shd w:val="clear" w:color="auto" w:fill="FFFFFF"/>
        <w:spacing w:before="0" w:beforeAutospacing="0" w:after="0" w:afterAutospacing="0"/>
        <w:jc w:val="both"/>
        <w:textAlignment w:val="center"/>
        <w:rPr>
          <w:shd w:val="clear" w:color="auto" w:fill="FFFFFF"/>
        </w:rPr>
      </w:pPr>
    </w:p>
    <w:p w14:paraId="5F3E1AC0" w14:textId="692E8B4E" w:rsidR="002673E3" w:rsidRPr="00936D2E" w:rsidRDefault="007C30AB" w:rsidP="00703FE9">
      <w:pPr>
        <w:pStyle w:val="Normlnweb"/>
        <w:shd w:val="clear" w:color="auto" w:fill="FFFFFF"/>
        <w:spacing w:before="0" w:beforeAutospacing="0" w:after="0" w:afterAutospacing="0"/>
        <w:jc w:val="both"/>
        <w:textAlignment w:val="center"/>
        <w:rPr>
          <w:shd w:val="clear" w:color="auto" w:fill="FFFFFF"/>
        </w:rPr>
      </w:pPr>
      <w:r w:rsidRPr="00936D2E">
        <w:rPr>
          <w:shd w:val="clear" w:color="auto" w:fill="FFFFFF"/>
        </w:rPr>
        <w:t>Pro úplnost dodáváme, že k</w:t>
      </w:r>
      <w:r w:rsidR="002673E3" w:rsidRPr="00936D2E">
        <w:rPr>
          <w:shd w:val="clear" w:color="auto" w:fill="FFFFFF"/>
        </w:rPr>
        <w:t xml:space="preserve"> problematice </w:t>
      </w:r>
      <w:r w:rsidR="00873B3D" w:rsidRPr="00936D2E">
        <w:rPr>
          <w:shd w:val="clear" w:color="auto" w:fill="FFFFFF"/>
        </w:rPr>
        <w:t>„</w:t>
      </w:r>
      <w:r w:rsidR="002673E3" w:rsidRPr="00936D2E">
        <w:rPr>
          <w:shd w:val="clear" w:color="auto" w:fill="FFFFFF"/>
        </w:rPr>
        <w:t>dohody o narovnání</w:t>
      </w:r>
      <w:r w:rsidR="00873B3D" w:rsidRPr="00936D2E">
        <w:rPr>
          <w:shd w:val="clear" w:color="auto" w:fill="FFFFFF"/>
        </w:rPr>
        <w:t>“</w:t>
      </w:r>
      <w:r w:rsidR="002673E3" w:rsidRPr="00936D2E">
        <w:rPr>
          <w:shd w:val="clear" w:color="auto" w:fill="FFFFFF"/>
        </w:rPr>
        <w:t xml:space="preserve"> v souvislosti s </w:t>
      </w:r>
      <w:r w:rsidR="00873B3D" w:rsidRPr="00936D2E">
        <w:rPr>
          <w:shd w:val="clear" w:color="auto" w:fill="FFFFFF"/>
        </w:rPr>
        <w:t>IŘ</w:t>
      </w:r>
      <w:r w:rsidR="002673E3" w:rsidRPr="00936D2E">
        <w:rPr>
          <w:shd w:val="clear" w:color="auto" w:fill="FFFFFF"/>
        </w:rPr>
        <w:t xml:space="preserve"> se vyjadřoval i </w:t>
      </w:r>
      <w:r w:rsidR="002673E3" w:rsidRPr="00936D2E">
        <w:t xml:space="preserve">Nejvyšší soud České republiky, který se v rozsudku sp. zn. 29 ICdo 115/2019, ze dne 24. 9. 2021 zabýval otázkou, zda dohoda o narovnání je neúčinným právním jednáním, jímž dlužník zvýhodňuje některé věřitele na úkor jiných (§ 241 IZ) a dospěl k závěru, že posuzování toho, zda dohoda o narovnání je neúčinným právním jednáním, jímž dlužník zvýhodňuje některé věřitele na úkor jiných je </w:t>
      </w:r>
      <w:r w:rsidRPr="00936D2E">
        <w:t xml:space="preserve">zcela </w:t>
      </w:r>
      <w:r w:rsidR="002673E3" w:rsidRPr="00936D2E">
        <w:t xml:space="preserve">odvislé od posouzení okolností konkrétní věci, a proto nelze učinit obecný závěr, podle něhož by každá dohoda o narovnání byla vždy vyloučena z režimu odporovatelnosti podle § 241 </w:t>
      </w:r>
      <w:r w:rsidRPr="00936D2E">
        <w:t>IZ</w:t>
      </w:r>
      <w:r w:rsidR="002673E3" w:rsidRPr="00936D2E">
        <w:t xml:space="preserve">. </w:t>
      </w:r>
      <w:r w:rsidRPr="00936D2E">
        <w:t>Jinými slovy řečeno, pokud dojde k uzavření dohody mezi společnost</w:t>
      </w:r>
      <w:r w:rsidR="00302266">
        <w:t>í</w:t>
      </w:r>
      <w:r w:rsidRPr="00936D2E">
        <w:t xml:space="preserve"> a SMO a IS bude </w:t>
      </w:r>
      <w:r w:rsidR="00064455" w:rsidRPr="00936D2E">
        <w:t xml:space="preserve">tuto dohodu </w:t>
      </w:r>
      <w:r w:rsidRPr="00936D2E">
        <w:t xml:space="preserve">odporovat, není možno ani předjímat výsledek soudního sporu. </w:t>
      </w:r>
    </w:p>
    <w:p w14:paraId="5E1879F2" w14:textId="77777777" w:rsidR="002673E3" w:rsidRPr="00936D2E" w:rsidRDefault="002673E3" w:rsidP="00282760">
      <w:pPr>
        <w:jc w:val="both"/>
      </w:pPr>
    </w:p>
    <w:p w14:paraId="100417A5" w14:textId="2542F31F" w:rsidR="001A6713" w:rsidRDefault="001A6713" w:rsidP="0071266E">
      <w:pPr>
        <w:jc w:val="both"/>
        <w:rPr>
          <w:bCs/>
        </w:rPr>
      </w:pPr>
      <w:r w:rsidRPr="00D21895">
        <w:rPr>
          <w:b/>
        </w:rPr>
        <w:t xml:space="preserve">Z uvedeného tedy plyne, že pokud bude dohoda </w:t>
      </w:r>
      <w:r w:rsidR="00CF7E46" w:rsidRPr="00D21895">
        <w:rPr>
          <w:b/>
        </w:rPr>
        <w:t>uzavřena</w:t>
      </w:r>
      <w:r w:rsidR="000D13B2" w:rsidRPr="00D21895">
        <w:rPr>
          <w:b/>
        </w:rPr>
        <w:t>, dojde k</w:t>
      </w:r>
      <w:r w:rsidR="00F83245" w:rsidRPr="00D21895">
        <w:rPr>
          <w:b/>
        </w:rPr>
        <w:t> </w:t>
      </w:r>
      <w:r w:rsidR="000D13B2" w:rsidRPr="00D21895">
        <w:rPr>
          <w:b/>
        </w:rPr>
        <w:t>úhradě</w:t>
      </w:r>
      <w:r w:rsidR="00F83245" w:rsidRPr="00D21895">
        <w:rPr>
          <w:b/>
        </w:rPr>
        <w:t xml:space="preserve"> </w:t>
      </w:r>
      <w:r w:rsidR="008B30B2" w:rsidRPr="00D21895">
        <w:rPr>
          <w:b/>
        </w:rPr>
        <w:t>a</w:t>
      </w:r>
      <w:r w:rsidR="00023F88" w:rsidRPr="00D21895">
        <w:rPr>
          <w:b/>
        </w:rPr>
        <w:t xml:space="preserve"> k úhradě pohledávky dle </w:t>
      </w:r>
      <w:r w:rsidR="00CF7E46" w:rsidRPr="00D21895">
        <w:rPr>
          <w:b/>
        </w:rPr>
        <w:t xml:space="preserve">této </w:t>
      </w:r>
      <w:r w:rsidR="00023F88" w:rsidRPr="00D21895">
        <w:rPr>
          <w:b/>
        </w:rPr>
        <w:t xml:space="preserve">dohody </w:t>
      </w:r>
      <w:r w:rsidRPr="00D21895">
        <w:rPr>
          <w:b/>
        </w:rPr>
        <w:t>a společnost se ocitne v</w:t>
      </w:r>
      <w:r w:rsidR="00237542" w:rsidRPr="00D21895">
        <w:rPr>
          <w:b/>
        </w:rPr>
        <w:t xml:space="preserve"> IŘ, </w:t>
      </w:r>
      <w:r w:rsidRPr="00D21895">
        <w:rPr>
          <w:b/>
        </w:rPr>
        <w:t xml:space="preserve">může </w:t>
      </w:r>
      <w:r w:rsidR="00CF7E46" w:rsidRPr="00D21895">
        <w:rPr>
          <w:b/>
        </w:rPr>
        <w:t>IS</w:t>
      </w:r>
      <w:r w:rsidRPr="00D21895">
        <w:rPr>
          <w:b/>
        </w:rPr>
        <w:t xml:space="preserve"> </w:t>
      </w:r>
      <w:r w:rsidR="00CF7E46" w:rsidRPr="00D21895">
        <w:rPr>
          <w:b/>
        </w:rPr>
        <w:t xml:space="preserve">v zákonné lhůtě takovou dohodu odporovat. </w:t>
      </w:r>
      <w:r w:rsidRPr="00D21895">
        <w:rPr>
          <w:b/>
        </w:rPr>
        <w:t xml:space="preserve"> </w:t>
      </w:r>
      <w:r w:rsidR="00CF7E46" w:rsidRPr="00D21895">
        <w:rPr>
          <w:b/>
        </w:rPr>
        <w:t xml:space="preserve">Pokud </w:t>
      </w:r>
      <w:r w:rsidR="008B30B2" w:rsidRPr="00D21895">
        <w:rPr>
          <w:b/>
        </w:rPr>
        <w:t>soud svým</w:t>
      </w:r>
      <w:r w:rsidR="00CF7E46" w:rsidRPr="00D21895">
        <w:rPr>
          <w:b/>
        </w:rPr>
        <w:t xml:space="preserve"> rozhodnutím </w:t>
      </w:r>
      <w:r w:rsidRPr="00D21895">
        <w:rPr>
          <w:b/>
        </w:rPr>
        <w:t>vysloví neúčinnost takové dohody vůči majetkové podstatě</w:t>
      </w:r>
      <w:r w:rsidR="00CF7E46" w:rsidRPr="00D21895">
        <w:rPr>
          <w:b/>
        </w:rPr>
        <w:t>,</w:t>
      </w:r>
      <w:r w:rsidRPr="00D21895">
        <w:rPr>
          <w:b/>
        </w:rPr>
        <w:t xml:space="preserve"> IS vyzve SMO </w:t>
      </w:r>
      <w:r w:rsidR="00023F88" w:rsidRPr="00D21895">
        <w:rPr>
          <w:b/>
        </w:rPr>
        <w:t>k</w:t>
      </w:r>
      <w:r w:rsidRPr="00D21895">
        <w:rPr>
          <w:b/>
        </w:rPr>
        <w:t> </w:t>
      </w:r>
      <w:r w:rsidR="00023F88" w:rsidRPr="00D21895">
        <w:rPr>
          <w:b/>
        </w:rPr>
        <w:t>úhradě</w:t>
      </w:r>
      <w:r w:rsidRPr="00D21895">
        <w:rPr>
          <w:b/>
        </w:rPr>
        <w:t xml:space="preserve"> finančních prostředků do majetkové podstaty, které byly na základě dohody </w:t>
      </w:r>
      <w:r w:rsidR="00F83245" w:rsidRPr="00D21895">
        <w:rPr>
          <w:b/>
        </w:rPr>
        <w:t xml:space="preserve">SMO </w:t>
      </w:r>
      <w:r w:rsidRPr="00D21895">
        <w:rPr>
          <w:b/>
        </w:rPr>
        <w:t>uhrazeny.</w:t>
      </w:r>
      <w:r w:rsidRPr="00D21895">
        <w:rPr>
          <w:bCs/>
        </w:rPr>
        <w:t xml:space="preserve"> </w:t>
      </w:r>
    </w:p>
    <w:p w14:paraId="1475A1FD" w14:textId="7FD42373" w:rsidR="0049328C" w:rsidRDefault="0049328C" w:rsidP="0071266E">
      <w:pPr>
        <w:jc w:val="both"/>
        <w:rPr>
          <w:bCs/>
        </w:rPr>
      </w:pPr>
    </w:p>
    <w:p w14:paraId="0860E9FE" w14:textId="0DDBD90F" w:rsidR="0049328C" w:rsidRPr="00936D2E" w:rsidRDefault="0049328C" w:rsidP="0071266E">
      <w:pPr>
        <w:jc w:val="both"/>
        <w:rPr>
          <w:bCs/>
          <w:shd w:val="clear" w:color="auto" w:fill="FFFFFF"/>
        </w:rPr>
      </w:pPr>
      <w:r>
        <w:rPr>
          <w:bCs/>
          <w:shd w:val="clear" w:color="auto" w:fill="FFFFFF"/>
        </w:rPr>
        <w:t>V dané věci je vhodné také upozornit, že ÚOHS může přezkoumávat, zda jsme uzavřením navrhované dohody nepřipustili zakázanou změnu závazku</w:t>
      </w:r>
      <w:r w:rsidR="00016220">
        <w:rPr>
          <w:bCs/>
          <w:shd w:val="clear" w:color="auto" w:fill="FFFFFF"/>
        </w:rPr>
        <w:t xml:space="preserve"> ze smlouvy a SMO sankcionovat. </w:t>
      </w:r>
    </w:p>
    <w:p w14:paraId="6AFF6B77" w14:textId="63CAB2A2" w:rsidR="00023F88" w:rsidRPr="00936D2E" w:rsidRDefault="00023F88" w:rsidP="0071266E">
      <w:pPr>
        <w:jc w:val="both"/>
        <w:rPr>
          <w:bCs/>
          <w:shd w:val="clear" w:color="auto" w:fill="FFFFFF"/>
        </w:rPr>
      </w:pPr>
    </w:p>
    <w:p w14:paraId="68ADDE02" w14:textId="2C172FA6" w:rsidR="003C4D13" w:rsidRDefault="003A4666" w:rsidP="0071266E">
      <w:pPr>
        <w:jc w:val="both"/>
        <w:rPr>
          <w:bCs/>
          <w:shd w:val="clear" w:color="auto" w:fill="FFFFFF"/>
        </w:rPr>
      </w:pPr>
      <w:r>
        <w:rPr>
          <w:bCs/>
          <w:shd w:val="clear" w:color="auto" w:fill="FFFFFF"/>
        </w:rPr>
        <w:lastRenderedPageBreak/>
        <w:t xml:space="preserve">Z hlediska péče řádného hospodáře je pak </w:t>
      </w:r>
      <w:r w:rsidRPr="003A4666">
        <w:rPr>
          <w:bCs/>
          <w:shd w:val="clear" w:color="auto" w:fill="FFFFFF"/>
        </w:rPr>
        <w:t>dáno ke zvážení orgánům města, zda přistoupit na navržený způsob narovnání, kdy uvedené se jeví ve světle výše smluvní pokuty a potencionální výše náhrady škody jako částka velice nízká</w:t>
      </w:r>
      <w:r w:rsidR="00D65C33" w:rsidRPr="00823264">
        <w:rPr>
          <w:shd w:val="clear" w:color="auto" w:fill="FFFFFF"/>
        </w:rPr>
        <w:t>.</w:t>
      </w:r>
    </w:p>
    <w:p w14:paraId="6E85BAC0" w14:textId="1B5A3FFA" w:rsidR="00D65C33" w:rsidRDefault="00D65C33" w:rsidP="0071266E">
      <w:pPr>
        <w:jc w:val="both"/>
        <w:rPr>
          <w:bCs/>
          <w:shd w:val="clear" w:color="auto" w:fill="FFFFFF"/>
        </w:rPr>
      </w:pPr>
    </w:p>
    <w:p w14:paraId="705526C5" w14:textId="060EE5FF" w:rsidR="00D65C33" w:rsidRPr="00D65C33" w:rsidRDefault="00D65C33" w:rsidP="0071266E">
      <w:pPr>
        <w:jc w:val="both"/>
        <w:rPr>
          <w:b/>
          <w:shd w:val="clear" w:color="auto" w:fill="FFFFFF"/>
        </w:rPr>
      </w:pPr>
      <w:r w:rsidRPr="00D65C33">
        <w:rPr>
          <w:b/>
          <w:shd w:val="clear" w:color="auto" w:fill="FFFFFF"/>
        </w:rPr>
        <w:t xml:space="preserve">Současně je však potřeba vzít v potaz skutečnost, že </w:t>
      </w:r>
      <w:r w:rsidR="009B180D" w:rsidRPr="00D65C33">
        <w:rPr>
          <w:b/>
          <w:shd w:val="clear" w:color="auto" w:fill="FFFFFF"/>
        </w:rPr>
        <w:t>škoda</w:t>
      </w:r>
      <w:r w:rsidR="009B180D">
        <w:rPr>
          <w:b/>
          <w:shd w:val="clear" w:color="auto" w:fill="FFFFFF"/>
        </w:rPr>
        <w:t>,</w:t>
      </w:r>
      <w:r w:rsidR="002A5A7C">
        <w:rPr>
          <w:b/>
          <w:shd w:val="clear" w:color="auto" w:fill="FFFFFF"/>
        </w:rPr>
        <w:t xml:space="preserve"> </w:t>
      </w:r>
      <w:r w:rsidRPr="00D65C33">
        <w:rPr>
          <w:b/>
          <w:shd w:val="clear" w:color="auto" w:fill="FFFFFF"/>
        </w:rPr>
        <w:t>kterou společnost způsobila SMO a přidruženým organizacím je značná a dle předběžných výpočtů viz. příloha č. 6 předloženého materiálu mohla dosáhnout výše přesahující 500 mil. Kč, oproti tomu společnost nabízí jako kompenzaci v úhrnu pro SMO a všechny přidružené organizace částku 20 mil. Kč</w:t>
      </w:r>
      <w:r w:rsidR="00016220">
        <w:rPr>
          <w:b/>
          <w:shd w:val="clear" w:color="auto" w:fill="FFFFFF"/>
        </w:rPr>
        <w:t xml:space="preserve"> (viz. příloha č. 5 předloženého materiálu)</w:t>
      </w:r>
      <w:r w:rsidRPr="00D65C33">
        <w:rPr>
          <w:b/>
          <w:shd w:val="clear" w:color="auto" w:fill="FFFFFF"/>
        </w:rPr>
        <w:t>.</w:t>
      </w:r>
    </w:p>
    <w:p w14:paraId="73300005" w14:textId="137DBB87" w:rsidR="003A4666" w:rsidRDefault="003A4666" w:rsidP="0071266E">
      <w:pPr>
        <w:jc w:val="both"/>
        <w:rPr>
          <w:bCs/>
          <w:shd w:val="clear" w:color="auto" w:fill="FFFFFF"/>
        </w:rPr>
      </w:pPr>
    </w:p>
    <w:p w14:paraId="12B4005E" w14:textId="77777777" w:rsidR="0071266E" w:rsidRPr="00936D2E" w:rsidRDefault="0071266E" w:rsidP="00282760">
      <w:pPr>
        <w:jc w:val="both"/>
      </w:pPr>
    </w:p>
    <w:p w14:paraId="3BA6685F" w14:textId="15082A16" w:rsidR="00974E35" w:rsidRPr="00936D2E" w:rsidRDefault="00A56E52" w:rsidP="00282760">
      <w:pPr>
        <w:jc w:val="both"/>
        <w:rPr>
          <w:b/>
          <w:bCs/>
          <w:u w:val="single"/>
        </w:rPr>
      </w:pPr>
      <w:r w:rsidRPr="00936D2E">
        <w:rPr>
          <w:b/>
          <w:bCs/>
          <w:u w:val="single"/>
        </w:rPr>
        <w:t>Stanovisko o</w:t>
      </w:r>
      <w:r w:rsidR="002673E3" w:rsidRPr="00936D2E">
        <w:rPr>
          <w:b/>
          <w:bCs/>
          <w:u w:val="single"/>
        </w:rPr>
        <w:t>d</w:t>
      </w:r>
      <w:r w:rsidR="00FC65D9" w:rsidRPr="00936D2E">
        <w:rPr>
          <w:b/>
          <w:bCs/>
          <w:u w:val="single"/>
        </w:rPr>
        <w:t>bor</w:t>
      </w:r>
      <w:r w:rsidRPr="00936D2E">
        <w:rPr>
          <w:b/>
          <w:bCs/>
          <w:u w:val="single"/>
        </w:rPr>
        <w:t>u</w:t>
      </w:r>
      <w:r w:rsidR="00FC65D9" w:rsidRPr="00936D2E">
        <w:rPr>
          <w:b/>
          <w:bCs/>
          <w:u w:val="single"/>
        </w:rPr>
        <w:t xml:space="preserve"> </w:t>
      </w:r>
      <w:r w:rsidRPr="00936D2E">
        <w:rPr>
          <w:b/>
          <w:bCs/>
          <w:u w:val="single"/>
        </w:rPr>
        <w:t xml:space="preserve">veřejných zakázek </w:t>
      </w:r>
    </w:p>
    <w:p w14:paraId="60B5D5E9" w14:textId="7D7608E7" w:rsidR="0053742F" w:rsidRPr="00936D2E" w:rsidRDefault="0053742F" w:rsidP="004C4947">
      <w:pPr>
        <w:jc w:val="both"/>
        <w:rPr>
          <w:sz w:val="22"/>
          <w:szCs w:val="22"/>
        </w:rPr>
      </w:pPr>
    </w:p>
    <w:p w14:paraId="34408752" w14:textId="2A9422F1" w:rsidR="00FA08B7" w:rsidRPr="00936D2E" w:rsidRDefault="00FA08B7" w:rsidP="004C4947">
      <w:pPr>
        <w:jc w:val="both"/>
        <w:rPr>
          <w:sz w:val="22"/>
          <w:szCs w:val="22"/>
        </w:rPr>
      </w:pPr>
    </w:p>
    <w:p w14:paraId="4A3C07BC" w14:textId="352A0C1B" w:rsidR="00231017" w:rsidRDefault="00231017" w:rsidP="00E01149">
      <w:pPr>
        <w:spacing w:after="240"/>
        <w:jc w:val="both"/>
        <w:rPr>
          <w:iCs/>
          <w:sz w:val="22"/>
          <w:szCs w:val="22"/>
        </w:rPr>
      </w:pPr>
      <w:r>
        <w:rPr>
          <w:iCs/>
        </w:rPr>
        <w:t>Usnesením č. 06795/RM1822/104</w:t>
      </w:r>
      <w:r>
        <w:rPr>
          <w:b/>
          <w:bCs/>
          <w:iCs/>
        </w:rPr>
        <w:t xml:space="preserve"> </w:t>
      </w:r>
      <w:r>
        <w:rPr>
          <w:iCs/>
        </w:rPr>
        <w:t xml:space="preserve">ze dne 1. 6. 2021 Rada města v pozici centrálního zadavatele rozhodla o výběru dodavatelů v otevřeném nadlimitním řízení dle § 56 zákona č. 134/2016 Sb., o zadávání veřejných zakázek, v platném znění (dále jen „zákon“) na </w:t>
      </w:r>
      <w:r>
        <w:t>realizaci dodávek elektrické energie pro SMO a městské organizace pro období let 2022 a 2023</w:t>
      </w:r>
      <w:r>
        <w:rPr>
          <w:iCs/>
        </w:rPr>
        <w:t xml:space="preserve">. S ohledem na povahu předmětu veřejné zakázky byla tato v souladu s ustanovením § 35 zákona rozdělena na tři samostatné části, kdy pro </w:t>
      </w:r>
      <w:r>
        <w:t xml:space="preserve">část 2 – </w:t>
      </w:r>
      <w:bookmarkStart w:id="2" w:name="_Hlk81304303"/>
      <w:r>
        <w:t>„</w:t>
      </w:r>
      <w:r>
        <w:rPr>
          <w:iCs/>
        </w:rPr>
        <w:t xml:space="preserve">Dodávka elektřiny v hladině NN (veřejné osvětlení) </w:t>
      </w:r>
      <w:r>
        <w:t>pro pověřujícího zadavatele Ostravské komunikace, a.s.“ a pro část 3</w:t>
      </w:r>
      <w:bookmarkEnd w:id="2"/>
      <w:r>
        <w:t xml:space="preserve"> – „Dodávka elektřiny v hladině VN“ byl vybrán účastník Lumius, spol. s r.o., IČO: 259 11 945, se sídlem Horní 700, Sviadnov, </w:t>
      </w:r>
      <w:r>
        <w:rPr>
          <w:iCs/>
        </w:rPr>
        <w:t>který splnil veškeré zákonné náležitosti pro uzavření smluv s centrálním a pověřujícími zadavateli.</w:t>
      </w:r>
    </w:p>
    <w:p w14:paraId="7C018478" w14:textId="7FB19367" w:rsidR="00231017" w:rsidRDefault="00231017" w:rsidP="00E01149">
      <w:pPr>
        <w:spacing w:before="240" w:after="240"/>
        <w:jc w:val="both"/>
        <w:rPr>
          <w:iCs/>
        </w:rPr>
      </w:pPr>
      <w:r>
        <w:rPr>
          <w:iCs/>
        </w:rPr>
        <w:t>Na základě následně uzavřených smluv o sdružených službách dodávek elektřiny se všemi dotčenými odběrateli, zahájil dodavatel dodávky do jejich odběrných míst dnem 1. 1. 2022, kdy následně dne 11. 1. 2022 oznámil pozbytí možnosti dodávek elektřiny. Ode dne 12. 1. 2022 do 30. 4. 2022 (v případě MO Ostrava – Jih do 31. 1. 2022) odebíraly dotčené organizace elektřinu v režimu dodavatele poslední instance od společnosti ČEZ Prodej, a.s. za násobně vyšší jednotkové ceny dle měsíčních ceníků DPI tohoto dodavatele.</w:t>
      </w:r>
    </w:p>
    <w:p w14:paraId="6143F33E" w14:textId="135E14B6" w:rsidR="00231017" w:rsidRDefault="00231017" w:rsidP="00E01149">
      <w:pPr>
        <w:spacing w:after="240"/>
        <w:jc w:val="both"/>
        <w:rPr>
          <w:bCs/>
        </w:rPr>
      </w:pPr>
      <w:r>
        <w:rPr>
          <w:bCs/>
        </w:rPr>
        <w:t xml:space="preserve">Po osobních jednáních dodavatele jak s centrálním, tak pověřujícími zadavateli, byla doručena dne 13. 5. 2022 </w:t>
      </w:r>
      <w:r>
        <w:rPr>
          <w:b/>
        </w:rPr>
        <w:t>nabídka společnosti na smírné vyřešení způsobené škody</w:t>
      </w:r>
      <w:r>
        <w:rPr>
          <w:bCs/>
        </w:rPr>
        <w:t xml:space="preserve"> s konkretizací výše návrhu nabízené kompenzace pro každou dotčenou organizaci SMO jednotlivě</w:t>
      </w:r>
      <w:r>
        <w:rPr>
          <w:b/>
        </w:rPr>
        <w:t xml:space="preserve"> v souhrnné částce 20</w:t>
      </w:r>
      <w:r w:rsidR="002A5A7C">
        <w:rPr>
          <w:b/>
        </w:rPr>
        <w:t> </w:t>
      </w:r>
      <w:r>
        <w:rPr>
          <w:b/>
        </w:rPr>
        <w:t>513</w:t>
      </w:r>
      <w:r w:rsidR="002A5A7C">
        <w:rPr>
          <w:b/>
        </w:rPr>
        <w:t xml:space="preserve"> </w:t>
      </w:r>
      <w:r>
        <w:rPr>
          <w:b/>
        </w:rPr>
        <w:t xml:space="preserve">531,90 Kč. </w:t>
      </w:r>
      <w:r>
        <w:rPr>
          <w:bCs/>
        </w:rPr>
        <w:t>Dne 20. 5. 2022 byla tato nabídka na žádost SMO doplněna o rozlišení nabízené kompenzace pro jednotlivé městské obvody a MMO zvlášť.</w:t>
      </w:r>
    </w:p>
    <w:p w14:paraId="06D770E9" w14:textId="643FB293" w:rsidR="00231017" w:rsidRDefault="00231017" w:rsidP="00231017">
      <w:pPr>
        <w:jc w:val="both"/>
        <w:rPr>
          <w:bCs/>
        </w:rPr>
      </w:pPr>
      <w:r>
        <w:rPr>
          <w:bCs/>
        </w:rPr>
        <w:t>Následně valná hromada společnosti rozhodla o zrušení společnosti s likvidací ke dni 1.</w:t>
      </w:r>
      <w:r w:rsidR="00A13892">
        <w:rPr>
          <w:bCs/>
        </w:rPr>
        <w:t xml:space="preserve"> </w:t>
      </w:r>
      <w:r>
        <w:rPr>
          <w:bCs/>
        </w:rPr>
        <w:t>6.</w:t>
      </w:r>
      <w:r w:rsidR="00A13892">
        <w:rPr>
          <w:bCs/>
        </w:rPr>
        <w:t xml:space="preserve"> </w:t>
      </w:r>
      <w:r>
        <w:rPr>
          <w:bCs/>
        </w:rPr>
        <w:t xml:space="preserve">2022. V návaznosti na tento úkon zaslala společnost SMO </w:t>
      </w:r>
      <w:r>
        <w:rPr>
          <w:bCs/>
          <w:i/>
          <w:iCs/>
        </w:rPr>
        <w:t>Mimořádnou účetní závěrku k 31. 5. 2022.</w:t>
      </w:r>
      <w:r>
        <w:rPr>
          <w:bCs/>
        </w:rPr>
        <w:t xml:space="preserve"> Dle obsahu této účetní závěrky a vzhledem k možnosti úhrady pohledávek můžeme uvést, že společnost:</w:t>
      </w:r>
    </w:p>
    <w:p w14:paraId="121356E4" w14:textId="77777777" w:rsidR="00231017" w:rsidRDefault="00231017" w:rsidP="00231017">
      <w:pPr>
        <w:pStyle w:val="Odstavecseseznamem"/>
        <w:numPr>
          <w:ilvl w:val="0"/>
          <w:numId w:val="2"/>
        </w:numPr>
        <w:jc w:val="both"/>
        <w:rPr>
          <w:rFonts w:ascii="Times New Roman" w:hAnsi="Times New Roman" w:cs="Times New Roman"/>
        </w:rPr>
      </w:pPr>
      <w:r>
        <w:rPr>
          <w:rFonts w:ascii="Times New Roman" w:hAnsi="Times New Roman" w:cs="Times New Roman"/>
        </w:rPr>
        <w:t>vlastní pozemky a stavby v hodnotě 62 mil. Kč, kdy však společnost Raiffeisenbank a.s. uplatňuje vůči těmto nemovitostem právo zástavy, jež je zákazem zcizení a zatížení vepsáno v katastru nemovitostí;</w:t>
      </w:r>
    </w:p>
    <w:p w14:paraId="0AF91DCE" w14:textId="77777777" w:rsidR="00231017" w:rsidRDefault="00231017" w:rsidP="00231017">
      <w:pPr>
        <w:pStyle w:val="Odstavecseseznamem"/>
        <w:numPr>
          <w:ilvl w:val="0"/>
          <w:numId w:val="2"/>
        </w:numPr>
        <w:jc w:val="both"/>
        <w:rPr>
          <w:rFonts w:ascii="Times New Roman" w:hAnsi="Times New Roman" w:cs="Times New Roman"/>
        </w:rPr>
      </w:pPr>
      <w:r>
        <w:rPr>
          <w:rFonts w:ascii="Times New Roman" w:hAnsi="Times New Roman" w:cs="Times New Roman"/>
        </w:rPr>
        <w:t>vykazuje peněžní prostředky ve výši cca 228 mil. Kč, kdy však společnost má uzavřeny úvěrové smlouvy s Raiffeisenbank a.s. do výše 278,5 mil. Kč a čerpání bankovních záruk je zajištěno blokací uvedených peněžních prostředků na bankovních účtech zmíněné Raiffeisenbank;</w:t>
      </w:r>
    </w:p>
    <w:p w14:paraId="11F92B6D" w14:textId="77777777" w:rsidR="00231017" w:rsidRDefault="00231017" w:rsidP="00231017">
      <w:pPr>
        <w:pStyle w:val="Odstavecseseznamem"/>
        <w:numPr>
          <w:ilvl w:val="0"/>
          <w:numId w:val="2"/>
        </w:numPr>
        <w:jc w:val="both"/>
        <w:rPr>
          <w:rFonts w:ascii="Times New Roman" w:hAnsi="Times New Roman" w:cs="Times New Roman"/>
        </w:rPr>
      </w:pPr>
      <w:r>
        <w:rPr>
          <w:rFonts w:ascii="Times New Roman" w:hAnsi="Times New Roman" w:cs="Times New Roman"/>
        </w:rPr>
        <w:t>vykazuje pohledávky ve výši cca 265 mil. Kč z obchodního styku (při vykázání závazků 85 mil. z obchodního styku).</w:t>
      </w:r>
    </w:p>
    <w:p w14:paraId="1F03A1EE" w14:textId="021B6D14" w:rsidR="00231017" w:rsidRDefault="00231017" w:rsidP="00231017">
      <w:pPr>
        <w:jc w:val="both"/>
      </w:pPr>
      <w:r>
        <w:lastRenderedPageBreak/>
        <w:t xml:space="preserve">V případě MMO, výše smluvní pokuty za 3 odběrná místa činí </w:t>
      </w:r>
      <w:r w:rsidRPr="00311A7A">
        <w:t xml:space="preserve">částku </w:t>
      </w:r>
      <w:bookmarkStart w:id="3" w:name="_Hlk109127740"/>
      <w:r w:rsidRPr="00311A7A">
        <w:t>1</w:t>
      </w:r>
      <w:r w:rsidR="00A13892">
        <w:t> </w:t>
      </w:r>
      <w:r w:rsidRPr="00311A7A">
        <w:t>753</w:t>
      </w:r>
      <w:r w:rsidR="00A13892">
        <w:t xml:space="preserve"> </w:t>
      </w:r>
      <w:r w:rsidRPr="00311A7A">
        <w:t>020,</w:t>
      </w:r>
      <w:r w:rsidR="003D4DE1">
        <w:t>-</w:t>
      </w:r>
      <w:r w:rsidRPr="00311A7A">
        <w:t xml:space="preserve"> </w:t>
      </w:r>
      <w:bookmarkEnd w:id="3"/>
      <w:r w:rsidRPr="00311A7A">
        <w:t xml:space="preserve">Kč a náhrada škody za nedodané plnění do konce roku 2023 je vyčíslena na </w:t>
      </w:r>
      <w:r w:rsidR="00326725" w:rsidRPr="00326725">
        <w:t xml:space="preserve">12 506 </w:t>
      </w:r>
      <w:r w:rsidR="00A7278E" w:rsidRPr="00326725">
        <w:t>717,</w:t>
      </w:r>
      <w:r w:rsidR="00326725" w:rsidRPr="00326725">
        <w:t>- Kč</w:t>
      </w:r>
      <w:r>
        <w:t>. Za všechny dotčené organizace SMO se pak jedná v souhrnu o cca 6</w:t>
      </w:r>
      <w:r w:rsidR="00E01149">
        <w:t>3</w:t>
      </w:r>
      <w:r>
        <w:t xml:space="preserve"> mil. Kč smluvní pokuty a cca 450 mil. Kč jako náhrada škody. </w:t>
      </w:r>
    </w:p>
    <w:p w14:paraId="7686933C" w14:textId="77777777" w:rsidR="00326725" w:rsidRDefault="00326725" w:rsidP="00231017">
      <w:pPr>
        <w:jc w:val="both"/>
      </w:pPr>
    </w:p>
    <w:p w14:paraId="6967FD2D" w14:textId="1FF6D39B" w:rsidR="00231017" w:rsidRDefault="00231017" w:rsidP="00231017">
      <w:pPr>
        <w:jc w:val="both"/>
      </w:pPr>
      <w:r>
        <w:t>Ke dni ukončení činnosti pak společnost Lumius, spol. s r.o. evidovala cca 1</w:t>
      </w:r>
      <w:r w:rsidR="00A7278E">
        <w:t xml:space="preserve"> </w:t>
      </w:r>
      <w:r>
        <w:t xml:space="preserve">500 zákazníků. Z veřejně dostupných zdrojů můžeme uvést, že nabízenou dohodu o narovnání smluvních vztahů přijaly z organizací veřejného sektoru Akademie věd ČR (pro svých 10 ústavů), Ostravská univerzita, Univerzita Pardubice, Západočeská univerzita v Plzni, Univerzita Tomáše Bati ve Zlíně, Slezská univerzita v Opavě a VŠB – TUO. Jelikož subjekty soukromého práva nejsou povinny smluvní informace ve veřejných rejstřících zveřejňovat, nejsme schopni posoudit, kolik jich na obdobnou dohodu o narovnání smluvních vztahů přistoupilo či zda uplatňují smluvní pokuty či vzniklou škodu v rámci likvidace společnosti. </w:t>
      </w:r>
    </w:p>
    <w:p w14:paraId="100D3C57" w14:textId="30808065" w:rsidR="00FA08B7" w:rsidRDefault="00FA08B7" w:rsidP="004C4947">
      <w:pPr>
        <w:jc w:val="both"/>
        <w:rPr>
          <w:sz w:val="22"/>
          <w:szCs w:val="22"/>
        </w:rPr>
      </w:pPr>
    </w:p>
    <w:p w14:paraId="4CCA6C58" w14:textId="0CAB5B04" w:rsidR="001870D6" w:rsidRDefault="001870D6" w:rsidP="004C4947">
      <w:pPr>
        <w:jc w:val="both"/>
        <w:rPr>
          <w:sz w:val="22"/>
          <w:szCs w:val="22"/>
        </w:rPr>
      </w:pPr>
    </w:p>
    <w:p w14:paraId="40B36072" w14:textId="17E15D8F" w:rsidR="00311767" w:rsidRPr="00EC6E83" w:rsidRDefault="00905505" w:rsidP="002E06E3">
      <w:pPr>
        <w:jc w:val="both"/>
        <w:rPr>
          <w:u w:val="single"/>
        </w:rPr>
      </w:pPr>
      <w:r w:rsidRPr="00EC6E83">
        <w:rPr>
          <w:u w:val="single"/>
        </w:rPr>
        <w:t xml:space="preserve">S ohledem na výše uvedené </w:t>
      </w:r>
      <w:r w:rsidR="00C161D5" w:rsidRPr="00EC6E83">
        <w:rPr>
          <w:b/>
          <w:bCs/>
          <w:u w:val="single"/>
        </w:rPr>
        <w:t>Rada města</w:t>
      </w:r>
      <w:r w:rsidR="00C161D5" w:rsidRPr="00EC6E83">
        <w:rPr>
          <w:u w:val="single"/>
        </w:rPr>
        <w:t xml:space="preserve"> Ostravy </w:t>
      </w:r>
      <w:r w:rsidRPr="00EC6E83">
        <w:rPr>
          <w:b/>
          <w:u w:val="single"/>
        </w:rPr>
        <w:t>navrhuje</w:t>
      </w:r>
      <w:r w:rsidRPr="00EC6E83">
        <w:rPr>
          <w:u w:val="single"/>
        </w:rPr>
        <w:t xml:space="preserve"> </w:t>
      </w:r>
      <w:r w:rsidR="00C161D5" w:rsidRPr="00EC6E83">
        <w:rPr>
          <w:b/>
          <w:u w:val="single"/>
        </w:rPr>
        <w:t>Z</w:t>
      </w:r>
      <w:r w:rsidR="00FD5569" w:rsidRPr="00EC6E83">
        <w:rPr>
          <w:b/>
          <w:u w:val="single"/>
        </w:rPr>
        <w:t>astupitelstvu</w:t>
      </w:r>
      <w:r w:rsidRPr="00EC6E83">
        <w:rPr>
          <w:b/>
          <w:u w:val="single"/>
        </w:rPr>
        <w:t xml:space="preserve"> města </w:t>
      </w:r>
      <w:r w:rsidR="00C161D5" w:rsidRPr="00EC6E83">
        <w:rPr>
          <w:b/>
          <w:u w:val="single"/>
        </w:rPr>
        <w:t xml:space="preserve">Ostravy </w:t>
      </w:r>
      <w:r w:rsidRPr="00EC6E83">
        <w:rPr>
          <w:b/>
          <w:u w:val="single"/>
        </w:rPr>
        <w:t xml:space="preserve">rozhodnout dle </w:t>
      </w:r>
      <w:r w:rsidR="002A5658" w:rsidRPr="00EC6E83">
        <w:rPr>
          <w:b/>
          <w:u w:val="single"/>
        </w:rPr>
        <w:t>navrženého usnesení</w:t>
      </w:r>
      <w:r w:rsidR="00C161D5" w:rsidRPr="00EC6E83">
        <w:rPr>
          <w:b/>
          <w:u w:val="single"/>
        </w:rPr>
        <w:t xml:space="preserve"> a navrženou dohodu neuzavřít</w:t>
      </w:r>
      <w:r w:rsidR="00B658E2">
        <w:rPr>
          <w:b/>
          <w:u w:val="single"/>
        </w:rPr>
        <w:t>,</w:t>
      </w:r>
      <w:r w:rsidR="00B658E2" w:rsidRPr="00B658E2">
        <w:rPr>
          <w:b/>
          <w:u w:val="single"/>
        </w:rPr>
        <w:t xml:space="preserve"> neboť nabídka kompenzace ze strany společnosti za ukončení dodávek elektrické energie obsažená v návrhu Dohody o narovnání představuje marginální částku s ohledem na výši způsobené škody a je tudíž možné, že v rámci insolvenčního řízení dosáhne město vyššího uspokojení.</w:t>
      </w:r>
    </w:p>
    <w:sectPr w:rsidR="00311767" w:rsidRPr="00EC6E8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5625" w14:textId="77777777" w:rsidR="009E1341" w:rsidRDefault="009E1341" w:rsidP="001870D6">
      <w:r>
        <w:separator/>
      </w:r>
    </w:p>
  </w:endnote>
  <w:endnote w:type="continuationSeparator" w:id="0">
    <w:p w14:paraId="738AA83D" w14:textId="77777777" w:rsidR="009E1341" w:rsidRDefault="009E1341" w:rsidP="001870D6">
      <w:r>
        <w:continuationSeparator/>
      </w:r>
    </w:p>
  </w:endnote>
  <w:endnote w:type="continuationNotice" w:id="1">
    <w:p w14:paraId="27658474" w14:textId="77777777" w:rsidR="009E1341" w:rsidRDefault="009E1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405252"/>
      <w:docPartObj>
        <w:docPartGallery w:val="Page Numbers (Bottom of Page)"/>
        <w:docPartUnique/>
      </w:docPartObj>
    </w:sdtPr>
    <w:sdtContent>
      <w:p w14:paraId="728C288C" w14:textId="71D2707B" w:rsidR="001870D6" w:rsidRDefault="001870D6">
        <w:pPr>
          <w:pStyle w:val="Zpat"/>
          <w:jc w:val="right"/>
        </w:pPr>
        <w:r>
          <w:fldChar w:fldCharType="begin"/>
        </w:r>
        <w:r>
          <w:instrText>PAGE   \* MERGEFORMAT</w:instrText>
        </w:r>
        <w:r>
          <w:fldChar w:fldCharType="separate"/>
        </w:r>
        <w:r>
          <w:t>2</w:t>
        </w:r>
        <w:r>
          <w:fldChar w:fldCharType="end"/>
        </w:r>
      </w:p>
    </w:sdtContent>
  </w:sdt>
  <w:p w14:paraId="76D54715" w14:textId="77777777" w:rsidR="001870D6" w:rsidRDefault="001870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5A68" w14:textId="77777777" w:rsidR="009E1341" w:rsidRDefault="009E1341" w:rsidP="001870D6">
      <w:r>
        <w:separator/>
      </w:r>
    </w:p>
  </w:footnote>
  <w:footnote w:type="continuationSeparator" w:id="0">
    <w:p w14:paraId="050A8DBF" w14:textId="77777777" w:rsidR="009E1341" w:rsidRDefault="009E1341" w:rsidP="001870D6">
      <w:r>
        <w:continuationSeparator/>
      </w:r>
    </w:p>
  </w:footnote>
  <w:footnote w:type="continuationNotice" w:id="1">
    <w:p w14:paraId="0C9EFBE5" w14:textId="77777777" w:rsidR="009E1341" w:rsidRDefault="009E1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D76C" w14:textId="77777777" w:rsidR="00C47EDC" w:rsidRDefault="00C47E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51AC"/>
    <w:multiLevelType w:val="hybridMultilevel"/>
    <w:tmpl w:val="D5D85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A071AE"/>
    <w:multiLevelType w:val="hybridMultilevel"/>
    <w:tmpl w:val="E4483F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51417343">
    <w:abstractNumId w:val="1"/>
  </w:num>
  <w:num w:numId="2" w16cid:durableId="573511808">
    <w:abstractNumId w:val="1"/>
  </w:num>
  <w:num w:numId="3" w16cid:durableId="132732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47"/>
    <w:rsid w:val="00006399"/>
    <w:rsid w:val="00016220"/>
    <w:rsid w:val="00023F88"/>
    <w:rsid w:val="00040DE3"/>
    <w:rsid w:val="000413DA"/>
    <w:rsid w:val="00053747"/>
    <w:rsid w:val="00064455"/>
    <w:rsid w:val="000771B7"/>
    <w:rsid w:val="000D13B2"/>
    <w:rsid w:val="000D45AE"/>
    <w:rsid w:val="000F6609"/>
    <w:rsid w:val="00146BE0"/>
    <w:rsid w:val="001607AA"/>
    <w:rsid w:val="0016354A"/>
    <w:rsid w:val="001870D6"/>
    <w:rsid w:val="001A1026"/>
    <w:rsid w:val="001A4044"/>
    <w:rsid w:val="001A6713"/>
    <w:rsid w:val="001C098E"/>
    <w:rsid w:val="001C1D1B"/>
    <w:rsid w:val="001D1E9A"/>
    <w:rsid w:val="001D469B"/>
    <w:rsid w:val="00217380"/>
    <w:rsid w:val="00231017"/>
    <w:rsid w:val="00237542"/>
    <w:rsid w:val="00245829"/>
    <w:rsid w:val="0025218A"/>
    <w:rsid w:val="00263AF6"/>
    <w:rsid w:val="002673E3"/>
    <w:rsid w:val="0028090A"/>
    <w:rsid w:val="00282760"/>
    <w:rsid w:val="002A5658"/>
    <w:rsid w:val="002A5A7C"/>
    <w:rsid w:val="002E06E3"/>
    <w:rsid w:val="002E3805"/>
    <w:rsid w:val="002F03C2"/>
    <w:rsid w:val="00302266"/>
    <w:rsid w:val="00311767"/>
    <w:rsid w:val="00311A7A"/>
    <w:rsid w:val="00326725"/>
    <w:rsid w:val="003369A4"/>
    <w:rsid w:val="003411CD"/>
    <w:rsid w:val="00355EF0"/>
    <w:rsid w:val="00361412"/>
    <w:rsid w:val="0039136E"/>
    <w:rsid w:val="003A4666"/>
    <w:rsid w:val="003B1251"/>
    <w:rsid w:val="003C4D13"/>
    <w:rsid w:val="003D4DE1"/>
    <w:rsid w:val="003E20CB"/>
    <w:rsid w:val="003E319D"/>
    <w:rsid w:val="003E5A9D"/>
    <w:rsid w:val="003F406D"/>
    <w:rsid w:val="003F777B"/>
    <w:rsid w:val="00403A91"/>
    <w:rsid w:val="00406113"/>
    <w:rsid w:val="00421AD5"/>
    <w:rsid w:val="00423C6A"/>
    <w:rsid w:val="00447B2F"/>
    <w:rsid w:val="004562BC"/>
    <w:rsid w:val="00460A84"/>
    <w:rsid w:val="0047614C"/>
    <w:rsid w:val="0049328C"/>
    <w:rsid w:val="004C4947"/>
    <w:rsid w:val="004E3BA3"/>
    <w:rsid w:val="0053742F"/>
    <w:rsid w:val="005610D9"/>
    <w:rsid w:val="00565FC3"/>
    <w:rsid w:val="0057447F"/>
    <w:rsid w:val="005F11F1"/>
    <w:rsid w:val="006334EE"/>
    <w:rsid w:val="00664BCD"/>
    <w:rsid w:val="00684630"/>
    <w:rsid w:val="006846FF"/>
    <w:rsid w:val="00703FE9"/>
    <w:rsid w:val="0071266E"/>
    <w:rsid w:val="00735578"/>
    <w:rsid w:val="007431C5"/>
    <w:rsid w:val="0078134E"/>
    <w:rsid w:val="007A4568"/>
    <w:rsid w:val="007C30AB"/>
    <w:rsid w:val="007E0A51"/>
    <w:rsid w:val="007E1C97"/>
    <w:rsid w:val="00807408"/>
    <w:rsid w:val="0081761D"/>
    <w:rsid w:val="00823264"/>
    <w:rsid w:val="00873B3D"/>
    <w:rsid w:val="0088715B"/>
    <w:rsid w:val="0089510F"/>
    <w:rsid w:val="008A66CD"/>
    <w:rsid w:val="008B30B2"/>
    <w:rsid w:val="008B73B7"/>
    <w:rsid w:val="00901E41"/>
    <w:rsid w:val="0090382B"/>
    <w:rsid w:val="00905505"/>
    <w:rsid w:val="009123CC"/>
    <w:rsid w:val="00933791"/>
    <w:rsid w:val="00936D2E"/>
    <w:rsid w:val="00974E35"/>
    <w:rsid w:val="009B180D"/>
    <w:rsid w:val="009C38E7"/>
    <w:rsid w:val="009C58F9"/>
    <w:rsid w:val="009E1341"/>
    <w:rsid w:val="009E5FA2"/>
    <w:rsid w:val="00A0575E"/>
    <w:rsid w:val="00A10066"/>
    <w:rsid w:val="00A13892"/>
    <w:rsid w:val="00A15B07"/>
    <w:rsid w:val="00A56E52"/>
    <w:rsid w:val="00A700B7"/>
    <w:rsid w:val="00A72102"/>
    <w:rsid w:val="00A7278E"/>
    <w:rsid w:val="00A8346D"/>
    <w:rsid w:val="00A84AF8"/>
    <w:rsid w:val="00A95AB0"/>
    <w:rsid w:val="00AD31B8"/>
    <w:rsid w:val="00AD3C6C"/>
    <w:rsid w:val="00AE1A23"/>
    <w:rsid w:val="00AF3383"/>
    <w:rsid w:val="00AF4C79"/>
    <w:rsid w:val="00B237E0"/>
    <w:rsid w:val="00B23DA3"/>
    <w:rsid w:val="00B26B2D"/>
    <w:rsid w:val="00B4421D"/>
    <w:rsid w:val="00B45F03"/>
    <w:rsid w:val="00B614D9"/>
    <w:rsid w:val="00B658E2"/>
    <w:rsid w:val="00B721DF"/>
    <w:rsid w:val="00BA4D5C"/>
    <w:rsid w:val="00BC582D"/>
    <w:rsid w:val="00BC7F4B"/>
    <w:rsid w:val="00BD2B8B"/>
    <w:rsid w:val="00C161D5"/>
    <w:rsid w:val="00C21E6A"/>
    <w:rsid w:val="00C23E71"/>
    <w:rsid w:val="00C44041"/>
    <w:rsid w:val="00C453D9"/>
    <w:rsid w:val="00C47EDC"/>
    <w:rsid w:val="00C53A0C"/>
    <w:rsid w:val="00C546F7"/>
    <w:rsid w:val="00C75964"/>
    <w:rsid w:val="00C76AF5"/>
    <w:rsid w:val="00CA1D9A"/>
    <w:rsid w:val="00CC6527"/>
    <w:rsid w:val="00CF7E46"/>
    <w:rsid w:val="00D065D2"/>
    <w:rsid w:val="00D114BD"/>
    <w:rsid w:val="00D13675"/>
    <w:rsid w:val="00D21895"/>
    <w:rsid w:val="00D35311"/>
    <w:rsid w:val="00D3713F"/>
    <w:rsid w:val="00D4407D"/>
    <w:rsid w:val="00D65C33"/>
    <w:rsid w:val="00D74E44"/>
    <w:rsid w:val="00D81472"/>
    <w:rsid w:val="00E01149"/>
    <w:rsid w:val="00E04601"/>
    <w:rsid w:val="00E053EF"/>
    <w:rsid w:val="00E366BD"/>
    <w:rsid w:val="00E374C3"/>
    <w:rsid w:val="00E42913"/>
    <w:rsid w:val="00E74464"/>
    <w:rsid w:val="00EC6E83"/>
    <w:rsid w:val="00ED7A55"/>
    <w:rsid w:val="00EF5DDB"/>
    <w:rsid w:val="00EF6779"/>
    <w:rsid w:val="00F0072F"/>
    <w:rsid w:val="00F11787"/>
    <w:rsid w:val="00F52ED8"/>
    <w:rsid w:val="00F556D8"/>
    <w:rsid w:val="00F63D00"/>
    <w:rsid w:val="00F66205"/>
    <w:rsid w:val="00F747F3"/>
    <w:rsid w:val="00F80ADC"/>
    <w:rsid w:val="00F83245"/>
    <w:rsid w:val="00FA08B7"/>
    <w:rsid w:val="00FC202E"/>
    <w:rsid w:val="00FC65D9"/>
    <w:rsid w:val="00FD4BBD"/>
    <w:rsid w:val="00FD5569"/>
    <w:rsid w:val="00FD5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7FE7"/>
  <w15:chartTrackingRefBased/>
  <w15:docId w15:val="{C3843132-AB22-4709-8F84-54042273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49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4C4947"/>
    <w:rPr>
      <w:rFonts w:ascii="Courier New" w:hAnsi="Courier New"/>
      <w:szCs w:val="20"/>
    </w:rPr>
  </w:style>
  <w:style w:type="character" w:customStyle="1" w:styleId="ZkladntextChar">
    <w:name w:val="Základní text Char"/>
    <w:basedOn w:val="Standardnpsmoodstavce"/>
    <w:link w:val="Zkladntext"/>
    <w:semiHidden/>
    <w:rsid w:val="004C4947"/>
    <w:rPr>
      <w:rFonts w:ascii="Courier New" w:eastAsia="Times New Roman" w:hAnsi="Courier New" w:cs="Times New Roman"/>
      <w:sz w:val="24"/>
      <w:szCs w:val="20"/>
      <w:lang w:eastAsia="cs-CZ"/>
    </w:rPr>
  </w:style>
  <w:style w:type="paragraph" w:customStyle="1" w:styleId="mmoradkovani">
    <w:name w:val="_mmo_radkovani"/>
    <w:basedOn w:val="Normln"/>
    <w:rsid w:val="004C4947"/>
    <w:pPr>
      <w:spacing w:line="360" w:lineRule="auto"/>
    </w:pPr>
    <w:rPr>
      <w:rFonts w:ascii="Courier New" w:hAnsi="Courier New"/>
      <w:szCs w:val="20"/>
    </w:rPr>
  </w:style>
  <w:style w:type="paragraph" w:styleId="Nzev">
    <w:name w:val="Title"/>
    <w:basedOn w:val="Normln"/>
    <w:link w:val="NzevChar"/>
    <w:qFormat/>
    <w:rsid w:val="00A10066"/>
    <w:pPr>
      <w:jc w:val="center"/>
    </w:pPr>
    <w:rPr>
      <w:b/>
      <w:sz w:val="28"/>
      <w:szCs w:val="20"/>
    </w:rPr>
  </w:style>
  <w:style w:type="character" w:customStyle="1" w:styleId="NzevChar">
    <w:name w:val="Název Char"/>
    <w:basedOn w:val="Standardnpsmoodstavce"/>
    <w:link w:val="Nzev"/>
    <w:rsid w:val="00A10066"/>
    <w:rPr>
      <w:rFonts w:ascii="Times New Roman" w:eastAsia="Times New Roman" w:hAnsi="Times New Roman" w:cs="Times New Roman"/>
      <w:b/>
      <w:sz w:val="28"/>
      <w:szCs w:val="20"/>
      <w:lang w:eastAsia="cs-CZ"/>
    </w:rPr>
  </w:style>
  <w:style w:type="paragraph" w:customStyle="1" w:styleId="Default">
    <w:name w:val="Default"/>
    <w:rsid w:val="00F80ADC"/>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D4407D"/>
    <w:rPr>
      <w:b/>
      <w:bCs/>
    </w:rPr>
  </w:style>
  <w:style w:type="character" w:customStyle="1" w:styleId="highlight">
    <w:name w:val="highlight"/>
    <w:basedOn w:val="Standardnpsmoodstavce"/>
    <w:rsid w:val="00C44041"/>
  </w:style>
  <w:style w:type="character" w:customStyle="1" w:styleId="footnote">
    <w:name w:val="footnote"/>
    <w:basedOn w:val="Standardnpsmoodstavce"/>
    <w:rsid w:val="00C44041"/>
  </w:style>
  <w:style w:type="character" w:styleId="Hypertextovodkaz">
    <w:name w:val="Hyperlink"/>
    <w:basedOn w:val="Standardnpsmoodstavce"/>
    <w:uiPriority w:val="99"/>
    <w:unhideWhenUsed/>
    <w:rsid w:val="00C44041"/>
    <w:rPr>
      <w:color w:val="0000FF"/>
      <w:u w:val="single"/>
    </w:rPr>
  </w:style>
  <w:style w:type="paragraph" w:styleId="Normlnweb">
    <w:name w:val="Normal (Web)"/>
    <w:basedOn w:val="Normln"/>
    <w:uiPriority w:val="99"/>
    <w:unhideWhenUsed/>
    <w:rsid w:val="009123CC"/>
    <w:pPr>
      <w:spacing w:before="100" w:beforeAutospacing="1" w:after="100" w:afterAutospacing="1"/>
    </w:pPr>
  </w:style>
  <w:style w:type="paragraph" w:styleId="Odstavecseseznamem">
    <w:name w:val="List Paragraph"/>
    <w:basedOn w:val="Normln"/>
    <w:uiPriority w:val="34"/>
    <w:qFormat/>
    <w:rsid w:val="00FA08B7"/>
    <w:pPr>
      <w:spacing w:after="160" w:line="256" w:lineRule="auto"/>
      <w:ind w:left="720"/>
      <w:contextualSpacing/>
    </w:pPr>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6334EE"/>
    <w:rPr>
      <w:color w:val="605E5C"/>
      <w:shd w:val="clear" w:color="auto" w:fill="E1DFDD"/>
    </w:rPr>
  </w:style>
  <w:style w:type="paragraph" w:styleId="Revize">
    <w:name w:val="Revision"/>
    <w:hidden/>
    <w:uiPriority w:val="99"/>
    <w:semiHidden/>
    <w:rsid w:val="00E04601"/>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72102"/>
    <w:rPr>
      <w:sz w:val="16"/>
      <w:szCs w:val="16"/>
    </w:rPr>
  </w:style>
  <w:style w:type="paragraph" w:styleId="Textkomente">
    <w:name w:val="annotation text"/>
    <w:basedOn w:val="Normln"/>
    <w:link w:val="TextkomenteChar"/>
    <w:uiPriority w:val="99"/>
    <w:unhideWhenUsed/>
    <w:rsid w:val="00A72102"/>
    <w:rPr>
      <w:sz w:val="20"/>
      <w:szCs w:val="20"/>
    </w:rPr>
  </w:style>
  <w:style w:type="character" w:customStyle="1" w:styleId="TextkomenteChar">
    <w:name w:val="Text komentáře Char"/>
    <w:basedOn w:val="Standardnpsmoodstavce"/>
    <w:link w:val="Textkomente"/>
    <w:uiPriority w:val="99"/>
    <w:rsid w:val="00A7210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102"/>
    <w:rPr>
      <w:b/>
      <w:bCs/>
    </w:rPr>
  </w:style>
  <w:style w:type="character" w:customStyle="1" w:styleId="PedmtkomenteChar">
    <w:name w:val="Předmět komentáře Char"/>
    <w:basedOn w:val="TextkomenteChar"/>
    <w:link w:val="Pedmtkomente"/>
    <w:uiPriority w:val="99"/>
    <w:semiHidden/>
    <w:rsid w:val="00A7210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870D6"/>
    <w:pPr>
      <w:tabs>
        <w:tab w:val="center" w:pos="4536"/>
        <w:tab w:val="right" w:pos="9072"/>
      </w:tabs>
    </w:pPr>
  </w:style>
  <w:style w:type="character" w:customStyle="1" w:styleId="ZhlavChar">
    <w:name w:val="Záhlaví Char"/>
    <w:basedOn w:val="Standardnpsmoodstavce"/>
    <w:link w:val="Zhlav"/>
    <w:uiPriority w:val="99"/>
    <w:rsid w:val="001870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70D6"/>
    <w:pPr>
      <w:tabs>
        <w:tab w:val="center" w:pos="4536"/>
        <w:tab w:val="right" w:pos="9072"/>
      </w:tabs>
    </w:pPr>
  </w:style>
  <w:style w:type="character" w:customStyle="1" w:styleId="ZpatChar">
    <w:name w:val="Zápatí Char"/>
    <w:basedOn w:val="Standardnpsmoodstavce"/>
    <w:link w:val="Zpat"/>
    <w:uiPriority w:val="99"/>
    <w:rsid w:val="001870D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4746">
      <w:bodyDiv w:val="1"/>
      <w:marLeft w:val="0"/>
      <w:marRight w:val="0"/>
      <w:marTop w:val="0"/>
      <w:marBottom w:val="0"/>
      <w:divBdr>
        <w:top w:val="none" w:sz="0" w:space="0" w:color="auto"/>
        <w:left w:val="none" w:sz="0" w:space="0" w:color="auto"/>
        <w:bottom w:val="none" w:sz="0" w:space="0" w:color="auto"/>
        <w:right w:val="none" w:sz="0" w:space="0" w:color="auto"/>
      </w:divBdr>
    </w:div>
    <w:div w:id="294137758">
      <w:bodyDiv w:val="1"/>
      <w:marLeft w:val="0"/>
      <w:marRight w:val="0"/>
      <w:marTop w:val="0"/>
      <w:marBottom w:val="0"/>
      <w:divBdr>
        <w:top w:val="none" w:sz="0" w:space="0" w:color="auto"/>
        <w:left w:val="none" w:sz="0" w:space="0" w:color="auto"/>
        <w:bottom w:val="none" w:sz="0" w:space="0" w:color="auto"/>
        <w:right w:val="none" w:sz="0" w:space="0" w:color="auto"/>
      </w:divBdr>
    </w:div>
    <w:div w:id="522943009">
      <w:bodyDiv w:val="1"/>
      <w:marLeft w:val="0"/>
      <w:marRight w:val="0"/>
      <w:marTop w:val="0"/>
      <w:marBottom w:val="0"/>
      <w:divBdr>
        <w:top w:val="none" w:sz="0" w:space="0" w:color="auto"/>
        <w:left w:val="none" w:sz="0" w:space="0" w:color="auto"/>
        <w:bottom w:val="none" w:sz="0" w:space="0" w:color="auto"/>
        <w:right w:val="none" w:sz="0" w:space="0" w:color="auto"/>
      </w:divBdr>
    </w:div>
    <w:div w:id="631331021">
      <w:bodyDiv w:val="1"/>
      <w:marLeft w:val="0"/>
      <w:marRight w:val="0"/>
      <w:marTop w:val="0"/>
      <w:marBottom w:val="0"/>
      <w:divBdr>
        <w:top w:val="none" w:sz="0" w:space="0" w:color="auto"/>
        <w:left w:val="none" w:sz="0" w:space="0" w:color="auto"/>
        <w:bottom w:val="none" w:sz="0" w:space="0" w:color="auto"/>
        <w:right w:val="none" w:sz="0" w:space="0" w:color="auto"/>
      </w:divBdr>
    </w:div>
    <w:div w:id="673265731">
      <w:bodyDiv w:val="1"/>
      <w:marLeft w:val="0"/>
      <w:marRight w:val="0"/>
      <w:marTop w:val="0"/>
      <w:marBottom w:val="0"/>
      <w:divBdr>
        <w:top w:val="none" w:sz="0" w:space="0" w:color="auto"/>
        <w:left w:val="none" w:sz="0" w:space="0" w:color="auto"/>
        <w:bottom w:val="none" w:sz="0" w:space="0" w:color="auto"/>
        <w:right w:val="none" w:sz="0" w:space="0" w:color="auto"/>
      </w:divBdr>
    </w:div>
    <w:div w:id="13100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f6obzfzygmmrqga" TargetMode="External"/><Relationship Id="rId13" Type="http://schemas.openxmlformats.org/officeDocument/2006/relationships/hyperlink" Target="https://cs.wikipedia.org/wiki/So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Dlu%C5%BEn%C3%A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V%C4%9B%C5%99it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wikipedia.org/wiki/Z%C3%A1vazek"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rqga3f6mjygixhazrt"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F71-EC3D-482E-ADFB-BBCB98FB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2048</Words>
  <Characters>12090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Martina</dc:creator>
  <cp:keywords/>
  <dc:description/>
  <cp:lastModifiedBy>Lasevič Jan</cp:lastModifiedBy>
  <cp:revision>23</cp:revision>
  <dcterms:created xsi:type="dcterms:W3CDTF">2022-09-07T03:56:00Z</dcterms:created>
  <dcterms:modified xsi:type="dcterms:W3CDTF">2022-09-07T06:44:00Z</dcterms:modified>
</cp:coreProperties>
</file>