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DA4D" w14:textId="77777777" w:rsidR="00F04A40" w:rsidRPr="00931F15" w:rsidRDefault="008A70B1" w:rsidP="00931F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31F15">
        <w:rPr>
          <w:rFonts w:ascii="Times New Roman" w:hAnsi="Times New Roman" w:cs="Times New Roman"/>
          <w:b/>
          <w:sz w:val="36"/>
          <w:szCs w:val="36"/>
        </w:rPr>
        <w:t>Důvodová zpráva</w:t>
      </w:r>
    </w:p>
    <w:p w14:paraId="61ACA6D0" w14:textId="77777777" w:rsidR="005856B3" w:rsidRDefault="005856B3" w:rsidP="00931F15">
      <w:pPr>
        <w:pStyle w:val="JVS1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4DD33A65" w14:textId="63C6EE31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Předkládaný materiál </w:t>
      </w:r>
      <w:r>
        <w:rPr>
          <w:rFonts w:ascii="Times New Roman" w:hAnsi="Times New Roman" w:cs="Times New Roman"/>
          <w:bCs w:val="0"/>
          <w:sz w:val="24"/>
          <w:szCs w:val="24"/>
        </w:rPr>
        <w:t>shrnuje informace o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 investiční</w:t>
      </w:r>
      <w:r>
        <w:rPr>
          <w:rFonts w:ascii="Times New Roman" w:hAnsi="Times New Roman" w:cs="Times New Roman"/>
          <w:bCs w:val="0"/>
          <w:sz w:val="24"/>
          <w:szCs w:val="24"/>
        </w:rPr>
        <w:t>m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 záměr</w:t>
      </w:r>
      <w:r>
        <w:rPr>
          <w:rFonts w:ascii="Times New Roman" w:hAnsi="Times New Roman" w:cs="Times New Roman"/>
          <w:bCs w:val="0"/>
          <w:sz w:val="24"/>
          <w:szCs w:val="24"/>
        </w:rPr>
        <w:t>u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 „TJ UNIE HLUBINA z.s.“, který má zájem účastnit se dotační výzvy č. 11/2021 Regiony 2021, vyhlášené Národní sportovní agenturou v rámci programu č. 162 52 Regionální sportovní infrastruktura 2020 – 2024 (dále tak</w:t>
      </w:r>
      <w:r>
        <w:rPr>
          <w:rFonts w:ascii="Times New Roman" w:hAnsi="Times New Roman" w:cs="Times New Roman"/>
          <w:bCs w:val="0"/>
          <w:sz w:val="24"/>
          <w:szCs w:val="24"/>
        </w:rPr>
        <w:t>é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 „výzva“</w:t>
      </w:r>
      <w:r>
        <w:rPr>
          <w:rFonts w:ascii="Times New Roman" w:hAnsi="Times New Roman" w:cs="Times New Roman"/>
          <w:bCs w:val="0"/>
          <w:sz w:val="24"/>
          <w:szCs w:val="24"/>
        </w:rPr>
        <w:t>)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, a žádá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statutární 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>město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Ostrava (dále také „SMO“)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 xml:space="preserve"> o předběžný souhlas se spolufinancováním předmětné investiční akce z rozpočtu </w:t>
      </w:r>
      <w:r>
        <w:rPr>
          <w:rFonts w:ascii="Times New Roman" w:hAnsi="Times New Roman" w:cs="Times New Roman"/>
          <w:bCs w:val="0"/>
          <w:sz w:val="24"/>
          <w:szCs w:val="24"/>
        </w:rPr>
        <w:t>SMO</w:t>
      </w:r>
      <w:r w:rsidRPr="00F17D21">
        <w:rPr>
          <w:rFonts w:ascii="Times New Roman" w:hAnsi="Times New Roman" w:cs="Times New Roman"/>
          <w:bCs w:val="0"/>
          <w:sz w:val="24"/>
          <w:szCs w:val="24"/>
        </w:rPr>
        <w:t>.</w:t>
      </w:r>
    </w:p>
    <w:p w14:paraId="7A7EC00D" w14:textId="49601128" w:rsidR="009A7E10" w:rsidRDefault="009A7E10" w:rsidP="00931F15">
      <w:pPr>
        <w:pBdr>
          <w:top w:val="single" w:sz="4" w:space="1" w:color="auto"/>
        </w:pBdr>
        <w:tabs>
          <w:tab w:val="center" w:pos="2127"/>
          <w:tab w:val="center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462816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17D21">
        <w:rPr>
          <w:rFonts w:ascii="Times New Roman" w:hAnsi="Times New Roman" w:cs="Times New Roman"/>
          <w:bCs w:val="0"/>
          <w:sz w:val="24"/>
          <w:szCs w:val="24"/>
        </w:rPr>
        <w:t>Žadatel:</w:t>
      </w:r>
    </w:p>
    <w:p w14:paraId="537C952E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7D21">
        <w:rPr>
          <w:rFonts w:ascii="Times New Roman" w:hAnsi="Times New Roman" w:cs="Times New Roman"/>
          <w:b w:val="0"/>
          <w:sz w:val="24"/>
          <w:szCs w:val="24"/>
        </w:rPr>
        <w:t>"TJ UNIE HLUBINA z.s", sídlo: Ostrava, Moravská Ostrava a Přívoz, Gajdošova 2287/31, IČO: 43965628</w:t>
      </w:r>
      <w:r w:rsidRPr="00F17D21" w:rsidDel="00047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D73E099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7C3416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17D21">
        <w:rPr>
          <w:rFonts w:ascii="Times New Roman" w:hAnsi="Times New Roman" w:cs="Times New Roman"/>
          <w:bCs w:val="0"/>
          <w:sz w:val="24"/>
          <w:szCs w:val="24"/>
        </w:rPr>
        <w:t>Akce:</w:t>
      </w:r>
    </w:p>
    <w:p w14:paraId="64E6F60C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D21">
        <w:rPr>
          <w:rFonts w:ascii="Times New Roman" w:hAnsi="Times New Roman" w:cs="Times New Roman"/>
          <w:b w:val="0"/>
          <w:bCs w:val="0"/>
          <w:sz w:val="24"/>
          <w:szCs w:val="24"/>
        </w:rPr>
        <w:t>Objekt kuželny ve sportovním areálu TJ Unie Hlubina, Gajdošova ul., Moravská Ostrava</w:t>
      </w:r>
    </w:p>
    <w:p w14:paraId="0B7A2432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CB52FA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D21">
        <w:rPr>
          <w:rFonts w:ascii="Times New Roman" w:hAnsi="Times New Roman" w:cs="Times New Roman"/>
          <w:sz w:val="24"/>
          <w:szCs w:val="24"/>
        </w:rPr>
        <w:t>Informace:</w:t>
      </w:r>
    </w:p>
    <w:p w14:paraId="7E3B1F3A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Podmínky výzvy 11/2021 Regiony 2021 programu č. 162 52 Regionální sportovní infrastruktura:</w:t>
      </w:r>
    </w:p>
    <w:p w14:paraId="3D29EF2E" w14:textId="77777777" w:rsidR="00931F15" w:rsidRPr="00F17D21" w:rsidRDefault="00931F15" w:rsidP="00931F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Příjem žádostí o poskytnutí dotace od 24. 8. 2021 do 30. 9. 2021.</w:t>
      </w:r>
    </w:p>
    <w:p w14:paraId="0CC97BF9" w14:textId="77777777" w:rsidR="00931F15" w:rsidRPr="00F17D21" w:rsidRDefault="00931F15" w:rsidP="00931F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Dotace bude poskytována financováním ve formě ex ante.</w:t>
      </w:r>
    </w:p>
    <w:p w14:paraId="28A5C524" w14:textId="77777777" w:rsidR="00931F15" w:rsidRPr="00C0249A" w:rsidRDefault="00931F15" w:rsidP="00931F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0249A">
        <w:rPr>
          <w:rFonts w:ascii="Times New Roman" w:hAnsi="Times New Roman"/>
          <w:sz w:val="24"/>
          <w:szCs w:val="24"/>
        </w:rPr>
        <w:t>Nejzazší termín pro ukončení realizace akce do 24 měsíců od vydání Rozhodnutí o</w:t>
      </w:r>
      <w:r w:rsidRPr="00F17D21">
        <w:rPr>
          <w:rFonts w:ascii="Times New Roman" w:hAnsi="Times New Roman"/>
          <w:sz w:val="24"/>
          <w:szCs w:val="24"/>
        </w:rPr>
        <w:t> poskytnutí dotace, nejpozději do 31. 12. 2024.</w:t>
      </w:r>
    </w:p>
    <w:p w14:paraId="7A88CD11" w14:textId="77777777" w:rsidR="00931F15" w:rsidRPr="00F17D21" w:rsidRDefault="00931F15" w:rsidP="00931F1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Zdroje financování:</w:t>
      </w:r>
    </w:p>
    <w:p w14:paraId="6D3000F4" w14:textId="77777777" w:rsidR="00931F15" w:rsidRPr="00F17D21" w:rsidRDefault="00931F15" w:rsidP="00931F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Státní rozpočet.</w:t>
      </w:r>
    </w:p>
    <w:p w14:paraId="65A1938A" w14:textId="77777777" w:rsidR="00931F15" w:rsidRDefault="00931F15" w:rsidP="00931F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 xml:space="preserve">Vlastní zdroje žadatele, kdy podíl vlastních zdrojů žadatele o dotaci je </w:t>
      </w:r>
      <w:r w:rsidRPr="00F17D21">
        <w:rPr>
          <w:rFonts w:ascii="Times New Roman" w:hAnsi="Times New Roman"/>
          <w:b/>
          <w:sz w:val="24"/>
          <w:szCs w:val="24"/>
        </w:rPr>
        <w:t>minimálně 30 %</w:t>
      </w:r>
      <w:r w:rsidRPr="00F17D21">
        <w:rPr>
          <w:rFonts w:ascii="Times New Roman" w:hAnsi="Times New Roman"/>
          <w:sz w:val="24"/>
          <w:szCs w:val="24"/>
        </w:rPr>
        <w:t xml:space="preserve"> z celkových způsobilých výdajů akce</w:t>
      </w:r>
      <w:r>
        <w:rPr>
          <w:rFonts w:ascii="Times New Roman" w:hAnsi="Times New Roman"/>
          <w:sz w:val="24"/>
          <w:szCs w:val="24"/>
        </w:rPr>
        <w:t>:</w:t>
      </w:r>
    </w:p>
    <w:p w14:paraId="02A5FB90" w14:textId="77777777" w:rsidR="00931F15" w:rsidRDefault="00931F15" w:rsidP="00931F1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</w:t>
      </w:r>
      <w:r w:rsidRPr="00F17D21">
        <w:rPr>
          <w:rFonts w:ascii="Times New Roman" w:hAnsi="Times New Roman"/>
          <w:sz w:val="24"/>
          <w:szCs w:val="24"/>
        </w:rPr>
        <w:t>lastní zdroje žadatele mohou být kryty z rozpočtu ÚSC</w:t>
      </w:r>
      <w:r>
        <w:rPr>
          <w:rFonts w:ascii="Times New Roman" w:hAnsi="Times New Roman"/>
          <w:sz w:val="24"/>
          <w:szCs w:val="24"/>
        </w:rPr>
        <w:t>. Dále jsou přípustné půjčky a úvěry od bankovních institucí, nad kterými drží dohled Česká národní banka, půjčky a dary od ÚSC a dary ze soukromých zdrojů.</w:t>
      </w:r>
    </w:p>
    <w:p w14:paraId="34B08267" w14:textId="77777777" w:rsidR="00931F15" w:rsidRDefault="00931F15" w:rsidP="00931F1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P</w:t>
      </w:r>
      <w:r w:rsidRPr="00F17D21">
        <w:rPr>
          <w:rFonts w:ascii="Times New Roman" w:hAnsi="Times New Roman"/>
          <w:sz w:val="24"/>
          <w:szCs w:val="24"/>
        </w:rPr>
        <w:t>okud nepřesáhne výše dotace 80 %</w:t>
      </w:r>
      <w:r>
        <w:rPr>
          <w:rFonts w:ascii="Times New Roman" w:hAnsi="Times New Roman"/>
          <w:sz w:val="24"/>
          <w:szCs w:val="24"/>
        </w:rPr>
        <w:t xml:space="preserve"> z</w:t>
      </w:r>
      <w:r w:rsidRPr="00F17D21">
        <w:rPr>
          <w:rFonts w:ascii="Times New Roman" w:hAnsi="Times New Roman"/>
          <w:sz w:val="24"/>
          <w:szCs w:val="24"/>
        </w:rPr>
        <w:t xml:space="preserve"> celkově skutečně vynaložených způsobilých výdajů akce, může být financována z jiných národních programů.</w:t>
      </w:r>
    </w:p>
    <w:p w14:paraId="72878102" w14:textId="77777777" w:rsidR="00931F15" w:rsidRPr="00F17D21" w:rsidRDefault="00931F15" w:rsidP="00931F1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Povinnou přílohou žádosti je </w:t>
      </w:r>
      <w:r w:rsidRPr="0006235F">
        <w:rPr>
          <w:rFonts w:ascii="Times New Roman" w:hAnsi="Times New Roman"/>
          <w:b/>
          <w:bCs/>
          <w:sz w:val="24"/>
          <w:szCs w:val="24"/>
        </w:rPr>
        <w:t>doklad o zajištění vlastního podílu žadatele na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06235F">
        <w:rPr>
          <w:rFonts w:ascii="Times New Roman" w:hAnsi="Times New Roman"/>
          <w:b/>
          <w:bCs/>
          <w:sz w:val="24"/>
          <w:szCs w:val="24"/>
        </w:rPr>
        <w:t>financování akce</w:t>
      </w:r>
      <w:r>
        <w:rPr>
          <w:rFonts w:ascii="Times New Roman" w:hAnsi="Times New Roman"/>
          <w:sz w:val="24"/>
          <w:szCs w:val="24"/>
        </w:rPr>
        <w:t>, tj. např. výpis z účtu,</w:t>
      </w:r>
      <w:r w:rsidRPr="00F17D21">
        <w:rPr>
          <w:rFonts w:ascii="Times New Roman" w:hAnsi="Times New Roman"/>
          <w:sz w:val="24"/>
          <w:szCs w:val="24"/>
        </w:rPr>
        <w:t xml:space="preserve"> usnesení zastupitelstva, které souhlasí s poskytnutím finančních prostředků z vlastního rozpočtu</w:t>
      </w:r>
      <w:r>
        <w:rPr>
          <w:rFonts w:ascii="Times New Roman" w:hAnsi="Times New Roman"/>
          <w:sz w:val="24"/>
          <w:szCs w:val="24"/>
        </w:rPr>
        <w:t>, smlouva s bankou s úvěrovým příslibem atd.</w:t>
      </w:r>
    </w:p>
    <w:p w14:paraId="536D2788" w14:textId="77777777" w:rsidR="00931F15" w:rsidRPr="00F17D21" w:rsidRDefault="00931F15" w:rsidP="00931F1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26559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Limity poskytované dotace:</w:t>
      </w:r>
    </w:p>
    <w:p w14:paraId="1446D21D" w14:textId="77777777" w:rsidR="00931F15" w:rsidRPr="00F17D21" w:rsidRDefault="00931F15" w:rsidP="00931F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17D21">
        <w:rPr>
          <w:rFonts w:ascii="Times New Roman" w:hAnsi="Times New Roman"/>
          <w:iCs/>
          <w:sz w:val="24"/>
          <w:szCs w:val="24"/>
        </w:rPr>
        <w:t xml:space="preserve">a) minimálně: 1 428 571 Kč (tj. minimální výše dotace je alespoň </w:t>
      </w:r>
      <w:r w:rsidRPr="00F17D21">
        <w:rPr>
          <w:rFonts w:ascii="Times New Roman" w:hAnsi="Times New Roman"/>
          <w:b/>
          <w:bCs/>
          <w:iCs/>
          <w:sz w:val="24"/>
          <w:szCs w:val="24"/>
        </w:rPr>
        <w:t>1 000 000 Kč</w:t>
      </w:r>
      <w:r w:rsidRPr="00F17D21">
        <w:rPr>
          <w:rFonts w:ascii="Times New Roman" w:hAnsi="Times New Roman"/>
          <w:iCs/>
          <w:sz w:val="24"/>
          <w:szCs w:val="24"/>
        </w:rPr>
        <w:t>),</w:t>
      </w:r>
    </w:p>
    <w:p w14:paraId="7BF760A6" w14:textId="77777777" w:rsidR="00931F15" w:rsidRPr="00C0249A" w:rsidRDefault="00931F15" w:rsidP="00931F15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F17D21">
        <w:rPr>
          <w:rFonts w:ascii="Times New Roman" w:hAnsi="Times New Roman"/>
          <w:iCs/>
          <w:sz w:val="24"/>
          <w:szCs w:val="24"/>
        </w:rPr>
        <w:t xml:space="preserve">b) maximálně: není limitováno, maximální výše dotace však může být </w:t>
      </w:r>
      <w:r w:rsidRPr="00F17D21">
        <w:rPr>
          <w:rFonts w:ascii="Times New Roman" w:hAnsi="Times New Roman"/>
          <w:b/>
          <w:bCs/>
          <w:iCs/>
          <w:sz w:val="24"/>
          <w:szCs w:val="24"/>
        </w:rPr>
        <w:t>40 000 000 Kč</w:t>
      </w:r>
      <w:r w:rsidRPr="00F17D21">
        <w:rPr>
          <w:rFonts w:ascii="Times New Roman" w:hAnsi="Times New Roman"/>
          <w:iCs/>
          <w:sz w:val="24"/>
          <w:szCs w:val="24"/>
        </w:rPr>
        <w:t>,</w:t>
      </w:r>
    </w:p>
    <w:p w14:paraId="5C43B065" w14:textId="77777777" w:rsidR="00931F15" w:rsidRPr="00F17D21" w:rsidRDefault="00931F15" w:rsidP="00931F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BD308B4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Povin</w:t>
      </w:r>
      <w:r>
        <w:rPr>
          <w:rFonts w:ascii="Times New Roman" w:hAnsi="Times New Roman"/>
          <w:sz w:val="24"/>
          <w:szCs w:val="24"/>
        </w:rPr>
        <w:t>n</w:t>
      </w:r>
      <w:r w:rsidRPr="00F17D21">
        <w:rPr>
          <w:rFonts w:ascii="Times New Roman" w:hAnsi="Times New Roman"/>
          <w:sz w:val="24"/>
          <w:szCs w:val="24"/>
        </w:rPr>
        <w:t xml:space="preserve">ou přílohou žádosti je </w:t>
      </w:r>
      <w:r w:rsidRPr="00F17D21">
        <w:rPr>
          <w:rFonts w:ascii="Times New Roman" w:hAnsi="Times New Roman"/>
          <w:b/>
          <w:sz w:val="24"/>
          <w:szCs w:val="24"/>
        </w:rPr>
        <w:t>čestné prohlášení</w:t>
      </w:r>
      <w:r w:rsidRPr="00F17D21">
        <w:rPr>
          <w:rFonts w:ascii="Times New Roman" w:hAnsi="Times New Roman"/>
          <w:sz w:val="24"/>
          <w:szCs w:val="24"/>
        </w:rPr>
        <w:t xml:space="preserve"> s vyjádřením podpory obce, ve které se nachází příslušné sportoviště.</w:t>
      </w:r>
    </w:p>
    <w:p w14:paraId="0FF4328C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Investiční akce uvedená v tomto materiálu je zařazena v aktualizovaném Akčním plánu realizace cílů a opatření Strategického plánu města Ostravy pro sport 2017 – 2025.</w:t>
      </w:r>
    </w:p>
    <w:p w14:paraId="3897F39C" w14:textId="77777777" w:rsidR="00931F15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482E" w14:textId="77777777" w:rsidR="00931F15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C61A2" w14:textId="77777777" w:rsidR="00931F15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58E6" w14:textId="77777777" w:rsidR="00931F15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3426A" w14:textId="77777777" w:rsidR="00931F15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0A9CF" w14:textId="4DB7C9D4" w:rsidR="00931F15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D21">
        <w:rPr>
          <w:rFonts w:ascii="Times New Roman" w:hAnsi="Times New Roman" w:cs="Times New Roman"/>
          <w:sz w:val="24"/>
          <w:szCs w:val="24"/>
        </w:rPr>
        <w:lastRenderedPageBreak/>
        <w:t>Popis investiční akce (záměru):</w:t>
      </w:r>
    </w:p>
    <w:p w14:paraId="417F4FBA" w14:textId="77777777" w:rsidR="00931F15" w:rsidRPr="00F17D21" w:rsidRDefault="00931F15" w:rsidP="00931F15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227134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17D21">
        <w:rPr>
          <w:rFonts w:ascii="Times New Roman" w:hAnsi="Times New Roman"/>
          <w:bCs/>
          <w:sz w:val="24"/>
          <w:szCs w:val="24"/>
          <w:u w:val="single"/>
        </w:rPr>
        <w:t>Současný technický stav:</w:t>
      </w:r>
    </w:p>
    <w:p w14:paraId="605DC18A" w14:textId="2CD94FDD" w:rsidR="00931F15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49A">
        <w:rPr>
          <w:rFonts w:ascii="Times New Roman" w:hAnsi="Times New Roman"/>
          <w:bCs/>
          <w:sz w:val="24"/>
          <w:szCs w:val="24"/>
        </w:rPr>
        <w:t xml:space="preserve">Oddíl kuželek </w:t>
      </w:r>
      <w:r>
        <w:rPr>
          <w:rFonts w:ascii="Times New Roman" w:hAnsi="Times New Roman"/>
          <w:bCs/>
          <w:sz w:val="24"/>
          <w:szCs w:val="24"/>
        </w:rPr>
        <w:t>„</w:t>
      </w:r>
      <w:r w:rsidRPr="00C0249A">
        <w:rPr>
          <w:rFonts w:ascii="Times New Roman" w:hAnsi="Times New Roman"/>
          <w:bCs/>
          <w:sz w:val="24"/>
          <w:szCs w:val="24"/>
        </w:rPr>
        <w:t xml:space="preserve">TJ </w:t>
      </w:r>
      <w:r w:rsidRPr="00F17D21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NIE</w:t>
      </w:r>
      <w:r w:rsidRPr="00C0249A">
        <w:rPr>
          <w:rFonts w:ascii="Times New Roman" w:hAnsi="Times New Roman"/>
          <w:bCs/>
          <w:sz w:val="24"/>
          <w:szCs w:val="24"/>
        </w:rPr>
        <w:t xml:space="preserve"> H</w:t>
      </w:r>
      <w:r>
        <w:rPr>
          <w:rFonts w:ascii="Times New Roman" w:hAnsi="Times New Roman"/>
          <w:bCs/>
          <w:sz w:val="24"/>
          <w:szCs w:val="24"/>
        </w:rPr>
        <w:t>LUBINA</w:t>
      </w:r>
      <w:r w:rsidRPr="00C0249A">
        <w:rPr>
          <w:rFonts w:ascii="Times New Roman" w:hAnsi="Times New Roman"/>
          <w:bCs/>
          <w:sz w:val="24"/>
          <w:szCs w:val="24"/>
        </w:rPr>
        <w:t xml:space="preserve"> z.s.</w:t>
      </w:r>
      <w:r>
        <w:rPr>
          <w:rFonts w:ascii="Times New Roman" w:hAnsi="Times New Roman"/>
          <w:bCs/>
          <w:sz w:val="24"/>
          <w:szCs w:val="24"/>
        </w:rPr>
        <w:t>“</w:t>
      </w:r>
      <w:r w:rsidRPr="00C0249A">
        <w:rPr>
          <w:rFonts w:ascii="Times New Roman" w:hAnsi="Times New Roman"/>
          <w:bCs/>
          <w:sz w:val="24"/>
          <w:szCs w:val="24"/>
        </w:rPr>
        <w:t xml:space="preserve"> nyní působí ve sportovním areálu TJ Unie Hlubina</w:t>
      </w:r>
      <w:r w:rsidRPr="00F17D21">
        <w:rPr>
          <w:rFonts w:ascii="Times New Roman" w:hAnsi="Times New Roman"/>
          <w:bCs/>
          <w:sz w:val="24"/>
          <w:szCs w:val="24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> </w:t>
      </w:r>
      <w:r w:rsidRPr="00C0249A">
        <w:rPr>
          <w:rFonts w:ascii="Times New Roman" w:hAnsi="Times New Roman"/>
          <w:bCs/>
          <w:sz w:val="24"/>
          <w:szCs w:val="24"/>
        </w:rPr>
        <w:t xml:space="preserve">ul. Gajdošova, Ostrava. Vlastníkem celého sportovního areálu – nemovitých věcí je </w:t>
      </w:r>
      <w:r>
        <w:rPr>
          <w:rFonts w:ascii="Times New Roman" w:hAnsi="Times New Roman"/>
          <w:bCs/>
          <w:sz w:val="24"/>
          <w:szCs w:val="24"/>
        </w:rPr>
        <w:t>„</w:t>
      </w:r>
      <w:r w:rsidRPr="006C6F10">
        <w:rPr>
          <w:rFonts w:ascii="Times New Roman" w:hAnsi="Times New Roman"/>
          <w:bCs/>
          <w:sz w:val="24"/>
          <w:szCs w:val="24"/>
        </w:rPr>
        <w:t>TJ</w:t>
      </w:r>
      <w:r>
        <w:rPr>
          <w:rFonts w:ascii="Times New Roman" w:hAnsi="Times New Roman"/>
          <w:bCs/>
          <w:sz w:val="24"/>
          <w:szCs w:val="24"/>
        </w:rPr>
        <w:t> </w:t>
      </w:r>
      <w:r w:rsidRPr="006C6F1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NIE</w:t>
      </w:r>
      <w:r w:rsidRPr="006C6F10">
        <w:rPr>
          <w:rFonts w:ascii="Times New Roman" w:hAnsi="Times New Roman"/>
          <w:bCs/>
          <w:sz w:val="24"/>
          <w:szCs w:val="24"/>
        </w:rPr>
        <w:t xml:space="preserve"> H</w:t>
      </w:r>
      <w:r>
        <w:rPr>
          <w:rFonts w:ascii="Times New Roman" w:hAnsi="Times New Roman"/>
          <w:bCs/>
          <w:sz w:val="24"/>
          <w:szCs w:val="24"/>
        </w:rPr>
        <w:t>LUBINA</w:t>
      </w:r>
      <w:r w:rsidRPr="006C6F10">
        <w:rPr>
          <w:rFonts w:ascii="Times New Roman" w:hAnsi="Times New Roman"/>
          <w:bCs/>
          <w:sz w:val="24"/>
          <w:szCs w:val="24"/>
        </w:rPr>
        <w:t xml:space="preserve"> z.s.</w:t>
      </w:r>
      <w:r>
        <w:rPr>
          <w:rFonts w:ascii="Times New Roman" w:hAnsi="Times New Roman"/>
          <w:bCs/>
          <w:sz w:val="24"/>
          <w:szCs w:val="24"/>
        </w:rPr>
        <w:t>“</w:t>
      </w:r>
      <w:r w:rsidRPr="00F17D21">
        <w:rPr>
          <w:rFonts w:ascii="Times New Roman" w:hAnsi="Times New Roman"/>
          <w:bCs/>
          <w:sz w:val="24"/>
          <w:szCs w:val="24"/>
        </w:rPr>
        <w:t xml:space="preserve"> Oddíl kuželek v současné době využívá zázemí s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kuželnou</w:t>
      </w:r>
      <w:r>
        <w:rPr>
          <w:rFonts w:ascii="Times New Roman" w:hAnsi="Times New Roman"/>
          <w:bCs/>
          <w:sz w:val="24"/>
          <w:szCs w:val="24"/>
        </w:rPr>
        <w:t>.</w:t>
      </w:r>
      <w:r w:rsidRPr="00F17D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</w:t>
      </w:r>
      <w:r w:rsidRPr="00F17D21">
        <w:rPr>
          <w:rFonts w:ascii="Times New Roman" w:hAnsi="Times New Roman"/>
          <w:bCs/>
          <w:sz w:val="24"/>
          <w:szCs w:val="24"/>
        </w:rPr>
        <w:t>vou dráhová kuželna s asfaltovým povrchem drah byla v areálu TJ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Unie Hlubina vystavěna roku 1961. V roce 1975 bylo přistavěno zázemí pro hráče v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podobě klubovny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49A">
        <w:rPr>
          <w:rFonts w:ascii="Times New Roman" w:hAnsi="Times New Roman"/>
          <w:bCs/>
          <w:sz w:val="24"/>
          <w:szCs w:val="24"/>
        </w:rPr>
        <w:t xml:space="preserve">a šaten. Roku 1981 byl vyměněn povrch drah za saduritový, který je </w:t>
      </w:r>
      <w:r>
        <w:rPr>
          <w:rFonts w:ascii="Times New Roman" w:hAnsi="Times New Roman"/>
          <w:bCs/>
          <w:sz w:val="24"/>
          <w:szCs w:val="24"/>
        </w:rPr>
        <w:t>v </w:t>
      </w:r>
      <w:r w:rsidRPr="00F17D21">
        <w:rPr>
          <w:rFonts w:ascii="Times New Roman" w:hAnsi="Times New Roman"/>
          <w:bCs/>
          <w:sz w:val="24"/>
          <w:szCs w:val="24"/>
        </w:rPr>
        <w:t>kuželně dodnes. Poslední rekonstrukcí kuželna prošla v roce 2009, kdy byly instalovány repasované stavěče kuželek a výsledkové panely. Stávající kuželna již neodpovídá současným standardům především z důvodů špatného technického stavu budovy, tj. kolísající teplot</w:t>
      </w:r>
      <w:r>
        <w:rPr>
          <w:rFonts w:ascii="Times New Roman" w:hAnsi="Times New Roman"/>
          <w:bCs/>
          <w:sz w:val="24"/>
          <w:szCs w:val="24"/>
        </w:rPr>
        <w:t>ě</w:t>
      </w:r>
      <w:r w:rsidRPr="00C0249A">
        <w:rPr>
          <w:rFonts w:ascii="Times New Roman" w:hAnsi="Times New Roman"/>
          <w:bCs/>
          <w:sz w:val="24"/>
          <w:szCs w:val="24"/>
        </w:rPr>
        <w:t xml:space="preserve"> a vlhkost</w:t>
      </w:r>
      <w:r>
        <w:rPr>
          <w:rFonts w:ascii="Times New Roman" w:hAnsi="Times New Roman"/>
          <w:bCs/>
          <w:sz w:val="24"/>
          <w:szCs w:val="24"/>
        </w:rPr>
        <w:t>i</w:t>
      </w:r>
      <w:r w:rsidRPr="00C024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 w:rsidRPr="00C0249A">
        <w:rPr>
          <w:rFonts w:ascii="Times New Roman" w:hAnsi="Times New Roman"/>
          <w:bCs/>
          <w:sz w:val="24"/>
          <w:szCs w:val="24"/>
        </w:rPr>
        <w:t> kuželně, znamenající nemožnost instalace segmentových (skládaných drah). Souča</w:t>
      </w:r>
      <w:r w:rsidRPr="00F17D21">
        <w:rPr>
          <w:rFonts w:ascii="Times New Roman" w:hAnsi="Times New Roman"/>
          <w:bCs/>
          <w:sz w:val="24"/>
          <w:szCs w:val="24"/>
        </w:rPr>
        <w:t>sný litý povrch drah je již na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hranici regulérnosti. Nevyhovující je také stav sociálního zázemí pro hráče (šatny, sprchy). Není zde možné pořádat mezinárodní akce, ligová utkání, přebory jednotlivců, dvojic, ani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turnaje mládeže na krajské a vyšší úrovni, kde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je podmínkou čtyř dráhová kuželna s</w:t>
      </w:r>
      <w:r>
        <w:rPr>
          <w:rFonts w:ascii="Times New Roman" w:hAnsi="Times New Roman"/>
          <w:bCs/>
          <w:sz w:val="24"/>
          <w:szCs w:val="24"/>
        </w:rPr>
        <w:t> </w:t>
      </w:r>
      <w:r w:rsidRPr="00F17D21">
        <w:rPr>
          <w:rFonts w:ascii="Times New Roman" w:hAnsi="Times New Roman"/>
          <w:bCs/>
          <w:sz w:val="24"/>
          <w:szCs w:val="24"/>
        </w:rPr>
        <w:t>potřebným zázemím pro hráče i diváky.</w:t>
      </w:r>
    </w:p>
    <w:p w14:paraId="205C31F3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2A6EA1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17D21">
        <w:rPr>
          <w:rFonts w:ascii="Times New Roman" w:hAnsi="Times New Roman"/>
          <w:bCs/>
          <w:sz w:val="24"/>
          <w:szCs w:val="24"/>
          <w:u w:val="single"/>
        </w:rPr>
        <w:t>Navrhované řešení:</w:t>
      </w:r>
    </w:p>
    <w:p w14:paraId="63E2E709" w14:textId="77777777" w:rsidR="00931F15" w:rsidRPr="00F17D21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Dle</w:t>
      </w:r>
      <w:r w:rsidRPr="00C0249A">
        <w:rPr>
          <w:color w:val="000000"/>
          <w:shd w:val="clear" w:color="auto" w:fill="FFFFFF"/>
        </w:rPr>
        <w:t xml:space="preserve"> předloženého investičního záměru se bude jednat o realizaci stavby </w:t>
      </w:r>
      <w:r>
        <w:rPr>
          <w:color w:val="000000"/>
          <w:shd w:val="clear" w:color="auto" w:fill="FFFFFF"/>
        </w:rPr>
        <w:t xml:space="preserve">nové </w:t>
      </w:r>
      <w:r w:rsidRPr="00C0249A">
        <w:rPr>
          <w:color w:val="000000"/>
          <w:shd w:val="clear" w:color="auto" w:fill="FFFFFF"/>
        </w:rPr>
        <w:t>budovy, která bude obsahovat</w:t>
      </w:r>
      <w:r w:rsidRPr="00F17D21">
        <w:rPr>
          <w:color w:val="000000"/>
          <w:shd w:val="clear" w:color="auto" w:fill="FFFFFF"/>
        </w:rPr>
        <w:t xml:space="preserve"> recepci, kuželnu se čtyřmi dráhami, šatny, sociální zařízení, klubovnu, technické zázemí. V souvislosti s výstavbou budovy budou realizovány rovněž související inženýrské sítě (areálový vodovod, areálová kanalizace, napojení nízkého napětí, přeložka sdělovacích kabelů) a přilehlá zpevněná plocha před vstupem do kuželny. Nebude chybět ani</w:t>
      </w:r>
      <w:r>
        <w:rPr>
          <w:color w:val="000000"/>
          <w:shd w:val="clear" w:color="auto" w:fill="FFFFFF"/>
        </w:rPr>
        <w:t> </w:t>
      </w:r>
      <w:r w:rsidRPr="00F17D21">
        <w:rPr>
          <w:color w:val="000000"/>
          <w:shd w:val="clear" w:color="auto" w:fill="FFFFFF"/>
        </w:rPr>
        <w:t xml:space="preserve">terénní a zahradní úprava okolí nové kuželny v návaznosti na celý areál. Nový objekt bude zcela bezbariérový. Aktuálně je na stavbu zpracována projektová dokumentace, vydáno pravomocné stavební povolení a nyní probíhá soutěž na výběr dodavatele dle zákona </w:t>
      </w:r>
      <w:r>
        <w:rPr>
          <w:color w:val="000000"/>
          <w:shd w:val="clear" w:color="auto" w:fill="FFFFFF"/>
        </w:rPr>
        <w:t>č. </w:t>
      </w:r>
      <w:r w:rsidRPr="00C0249A">
        <w:rPr>
          <w:color w:val="000000"/>
          <w:shd w:val="clear" w:color="auto" w:fill="FFFFFF"/>
        </w:rPr>
        <w:t>134/</w:t>
      </w:r>
      <w:r w:rsidRPr="00F17D21"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 </w:t>
      </w:r>
      <w:r w:rsidRPr="00C0249A">
        <w:rPr>
          <w:color w:val="000000"/>
          <w:shd w:val="clear" w:color="auto" w:fill="FFFFFF"/>
        </w:rPr>
        <w:t>Sb., o zadávání veřejných zakázek, která by měla být ukončena v měsíci září 2021.</w:t>
      </w:r>
    </w:p>
    <w:p w14:paraId="12C6283A" w14:textId="77777777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F17D21">
        <w:rPr>
          <w:color w:val="000000"/>
        </w:rPr>
        <w:t>Nově vybudovaná kuželna bude splňovat aktuální normy pro soutěže vyšší třídy – národní</w:t>
      </w:r>
      <w:r>
        <w:rPr>
          <w:color w:val="000000"/>
        </w:rPr>
        <w:t xml:space="preserve"> </w:t>
      </w:r>
      <w:r w:rsidRPr="00F17D21">
        <w:rPr>
          <w:color w:val="000000"/>
        </w:rPr>
        <w:t>i</w:t>
      </w:r>
      <w:r>
        <w:rPr>
          <w:color w:val="000000"/>
        </w:rPr>
        <w:t> </w:t>
      </w:r>
      <w:r w:rsidRPr="00C0249A">
        <w:rPr>
          <w:color w:val="000000"/>
        </w:rPr>
        <w:t>mezinárodní. Bude se jedn</w:t>
      </w:r>
      <w:r w:rsidRPr="00F17D21">
        <w:rPr>
          <w:color w:val="000000"/>
        </w:rPr>
        <w:t>at o sportoviště s celoročním využitím vhodné pro pořádání městských soutěží, krajských i celorepublikových včetně soustředění reprezentace.</w:t>
      </w:r>
    </w:p>
    <w:p w14:paraId="5701F862" w14:textId="77777777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01A2B41A" w14:textId="77777777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Původní objekt kuželny bude využíván k tréninkovým účelům.</w:t>
      </w:r>
    </w:p>
    <w:p w14:paraId="59E3FD85" w14:textId="77777777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1A81BA60" w14:textId="77777777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Předpokládané v</w:t>
      </w:r>
      <w:r w:rsidRPr="009F7EC8">
        <w:rPr>
          <w:color w:val="000000"/>
          <w:u w:val="single"/>
        </w:rPr>
        <w:t>yužití</w:t>
      </w:r>
      <w:r>
        <w:rPr>
          <w:color w:val="000000"/>
          <w:u w:val="single"/>
        </w:rPr>
        <w:t>:</w:t>
      </w:r>
    </w:p>
    <w:p w14:paraId="7DD7B8C2" w14:textId="064E0582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Počet členů oddílu kuželek </w:t>
      </w:r>
      <w:r w:rsidR="00D95465" w:rsidRPr="00B958BD">
        <w:rPr>
          <w:bCs/>
        </w:rPr>
        <w:t>“</w:t>
      </w:r>
      <w:r>
        <w:rPr>
          <w:color w:val="000000"/>
        </w:rPr>
        <w:t>TJ UNIE HLUBINA z.s.“:</w:t>
      </w:r>
    </w:p>
    <w:p w14:paraId="57D7DA0B" w14:textId="77777777" w:rsidR="00931F15" w:rsidRDefault="00931F15" w:rsidP="00931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podpoření organizovaní sportovci celkem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14:paraId="0ED4C3AC" w14:textId="77777777" w:rsidR="00931F15" w:rsidRDefault="00931F15" w:rsidP="00931F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podpoření sportovci kategorie děti a mládež do 18 let</w:t>
      </w:r>
      <w:r>
        <w:rPr>
          <w:rFonts w:ascii="Times New Roman" w:hAnsi="Times New Roman"/>
          <w:sz w:val="24"/>
          <w:szCs w:val="24"/>
        </w:rPr>
        <w:tab/>
        <w:t>6</w:t>
      </w:r>
    </w:p>
    <w:p w14:paraId="136351A3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 se o počty registrovaných členů oddílu kuželek „TJ UNIE HLUBINA z.s.“, i členů, u nichž v současné době probíhá proces registrace u ČKA pro sezónu 2021/22.</w:t>
      </w:r>
    </w:p>
    <w:p w14:paraId="71C9560B" w14:textId="77777777" w:rsidR="00D95465" w:rsidRDefault="00D9546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87509" w14:textId="30C0DC1F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Realizací 4 dráhové kuželny je předpokládána podpora pro další sportovce uspořádáním následujících akcí: </w:t>
      </w:r>
    </w:p>
    <w:p w14:paraId="2ECED23B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Turnaje mládeže cca 60 hráčů do 15 let (Pohár mladých nadějí), cca 40 hráčů od 15 do 18 let (Český pohár dorostu) a cca 40 hráčů od 18 do 21 let (Pohár juniorů), dále kempy talentované mládeže cca 24 účastníků. </w:t>
      </w:r>
    </w:p>
    <w:p w14:paraId="4F63F3EE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Krajské případně republikové mistrovství jednotlivců v kategoriích muži, ženy, dorostenci(ky), junioři(ky), senioři(ky). Jedné akce se účastní zpravidla 24 – 32 hráčů.</w:t>
      </w:r>
    </w:p>
    <w:p w14:paraId="4891CAC6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Turnaj série MČR dvojic můžu a žen. Jedné akce se účastní zpravidla cca 40 hráčů.</w:t>
      </w:r>
    </w:p>
    <w:p w14:paraId="1C1CFB8D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Turnaje GRAND PRIX a MČR hendikepovaných kuželkářů. Jedné akce se účastní zpravidla 20 – 30 hráčů.</w:t>
      </w:r>
    </w:p>
    <w:p w14:paraId="1EEB2019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Podniková liga LIBERTY cca 90 hráčů neregistrovaných a 50 registrovaných (dlouhodobá soutěž).</w:t>
      </w:r>
    </w:p>
    <w:p w14:paraId="3D3B2AAF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předpokládáno i rozšíření členské základny o neregistrované hráče či zájemce z ostatních oddílů a také na základě náborových akcí pro děti a mládež.</w:t>
      </w:r>
    </w:p>
    <w:p w14:paraId="21E15FFB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BE2F1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2617">
        <w:rPr>
          <w:rFonts w:ascii="Times New Roman" w:hAnsi="Times New Roman"/>
          <w:sz w:val="24"/>
          <w:szCs w:val="24"/>
          <w:u w:val="single"/>
        </w:rPr>
        <w:t>Rozpočet dle stavebních objektů:</w:t>
      </w:r>
    </w:p>
    <w:p w14:paraId="54AE31AF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Objekt kuželny</w:t>
      </w:r>
      <w:r w:rsidRPr="00662617">
        <w:rPr>
          <w:rFonts w:ascii="Times New Roman" w:hAnsi="Times New Roman"/>
          <w:sz w:val="24"/>
          <w:szCs w:val="24"/>
        </w:rPr>
        <w:tab/>
      </w:r>
      <w:r w:rsidRPr="00662617">
        <w:rPr>
          <w:rFonts w:ascii="Times New Roman" w:hAnsi="Times New Roman"/>
          <w:sz w:val="24"/>
          <w:szCs w:val="24"/>
        </w:rPr>
        <w:tab/>
        <w:t xml:space="preserve">  17 402 370,38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21 056 868,16 Kč s DPH</w:t>
      </w:r>
    </w:p>
    <w:p w14:paraId="39B4E343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Zdravotechnika</w:t>
      </w:r>
      <w:r w:rsidRPr="00662617">
        <w:rPr>
          <w:rFonts w:ascii="Times New Roman" w:hAnsi="Times New Roman"/>
          <w:sz w:val="24"/>
          <w:szCs w:val="24"/>
        </w:rPr>
        <w:tab/>
        <w:t xml:space="preserve">   </w:t>
      </w:r>
      <w:r w:rsidRPr="00662617">
        <w:rPr>
          <w:rFonts w:ascii="Times New Roman" w:hAnsi="Times New Roman"/>
          <w:sz w:val="24"/>
          <w:szCs w:val="24"/>
        </w:rPr>
        <w:tab/>
        <w:t xml:space="preserve">       933 546,72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1 129 591,53 Kč s DPH </w:t>
      </w:r>
    </w:p>
    <w:p w14:paraId="6B7F4F43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Elektroinstalace</w:t>
      </w:r>
      <w:r w:rsidRPr="00662617">
        <w:rPr>
          <w:rFonts w:ascii="Times New Roman" w:hAnsi="Times New Roman"/>
          <w:sz w:val="24"/>
          <w:szCs w:val="24"/>
        </w:rPr>
        <w:tab/>
      </w:r>
      <w:r w:rsidRPr="00662617">
        <w:rPr>
          <w:rFonts w:ascii="Times New Roman" w:hAnsi="Times New Roman"/>
          <w:sz w:val="24"/>
          <w:szCs w:val="24"/>
        </w:rPr>
        <w:tab/>
        <w:t xml:space="preserve">    1 190 428,90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1 440 418,97 Kč s DPH</w:t>
      </w:r>
    </w:p>
    <w:p w14:paraId="0E10B9F3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Vzduchotechnika</w:t>
      </w:r>
      <w:r w:rsidRPr="00662617">
        <w:rPr>
          <w:rFonts w:ascii="Times New Roman" w:hAnsi="Times New Roman"/>
          <w:sz w:val="24"/>
          <w:szCs w:val="24"/>
        </w:rPr>
        <w:tab/>
      </w:r>
      <w:r w:rsidRPr="00662617">
        <w:rPr>
          <w:rFonts w:ascii="Times New Roman" w:hAnsi="Times New Roman"/>
          <w:sz w:val="24"/>
          <w:szCs w:val="24"/>
        </w:rPr>
        <w:tab/>
        <w:t xml:space="preserve">    1 167 150,11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1 412 251,63 Kč s DPH</w:t>
      </w:r>
    </w:p>
    <w:p w14:paraId="32BA5574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Ústřední vytápění</w:t>
      </w:r>
      <w:r w:rsidRPr="00662617">
        <w:rPr>
          <w:rFonts w:ascii="Times New Roman" w:hAnsi="Times New Roman"/>
          <w:sz w:val="24"/>
          <w:szCs w:val="24"/>
        </w:rPr>
        <w:tab/>
      </w:r>
      <w:r w:rsidRPr="00662617">
        <w:rPr>
          <w:rFonts w:ascii="Times New Roman" w:hAnsi="Times New Roman"/>
          <w:sz w:val="24"/>
          <w:szCs w:val="24"/>
        </w:rPr>
        <w:tab/>
        <w:t xml:space="preserve">    1 854 829,06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2 244 343,16 Kč s DPH</w:t>
      </w:r>
    </w:p>
    <w:p w14:paraId="316D0321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Areálový vodovod</w:t>
      </w:r>
      <w:r w:rsidRPr="00662617">
        <w:rPr>
          <w:rFonts w:ascii="Times New Roman" w:hAnsi="Times New Roman"/>
          <w:sz w:val="24"/>
          <w:szCs w:val="24"/>
        </w:rPr>
        <w:tab/>
      </w:r>
      <w:r w:rsidRPr="00662617">
        <w:rPr>
          <w:rFonts w:ascii="Times New Roman" w:hAnsi="Times New Roman"/>
          <w:sz w:val="24"/>
          <w:szCs w:val="24"/>
        </w:rPr>
        <w:tab/>
        <w:t xml:space="preserve">         77 852,81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     94 201,90 Kč s DPH</w:t>
      </w:r>
    </w:p>
    <w:p w14:paraId="3E1DE779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Areálová kanalizace</w:t>
      </w:r>
      <w:r w:rsidRPr="00662617">
        <w:rPr>
          <w:rFonts w:ascii="Times New Roman" w:hAnsi="Times New Roman"/>
          <w:sz w:val="24"/>
          <w:szCs w:val="24"/>
        </w:rPr>
        <w:tab/>
      </w:r>
      <w:r w:rsidRPr="00662617">
        <w:rPr>
          <w:rFonts w:ascii="Times New Roman" w:hAnsi="Times New Roman"/>
          <w:sz w:val="24"/>
          <w:szCs w:val="24"/>
        </w:rPr>
        <w:tab/>
        <w:t xml:space="preserve">    1 205 507,18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1 458 663,69 Kč s DPH</w:t>
      </w:r>
    </w:p>
    <w:p w14:paraId="1C45E8AC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617">
        <w:rPr>
          <w:rFonts w:ascii="Times New Roman" w:hAnsi="Times New Roman"/>
          <w:sz w:val="24"/>
          <w:szCs w:val="24"/>
        </w:rPr>
        <w:t>Přeložka sdělovacích kabelů</w:t>
      </w:r>
      <w:r w:rsidRPr="00662617">
        <w:rPr>
          <w:rFonts w:ascii="Times New Roman" w:hAnsi="Times New Roman"/>
          <w:sz w:val="24"/>
          <w:szCs w:val="24"/>
        </w:rPr>
        <w:tab/>
        <w:t xml:space="preserve">       227 924,</w:t>
      </w:r>
      <w:r>
        <w:rPr>
          <w:rFonts w:ascii="Times New Roman" w:hAnsi="Times New Roman"/>
          <w:sz w:val="24"/>
          <w:szCs w:val="24"/>
        </w:rPr>
        <w:t>--</w:t>
      </w:r>
      <w:r w:rsidRPr="00662617">
        <w:rPr>
          <w:rFonts w:ascii="Times New Roman" w:hAnsi="Times New Roman"/>
          <w:sz w:val="24"/>
          <w:szCs w:val="24"/>
        </w:rPr>
        <w:t xml:space="preserve"> Kč bez DPH</w:t>
      </w:r>
      <w:r w:rsidRPr="00662617">
        <w:rPr>
          <w:rFonts w:ascii="Times New Roman" w:hAnsi="Times New Roman"/>
          <w:sz w:val="24"/>
          <w:szCs w:val="24"/>
        </w:rPr>
        <w:tab/>
        <w:t xml:space="preserve">      275 788,04 Kč s DPH</w:t>
      </w:r>
    </w:p>
    <w:p w14:paraId="40FBCE8C" w14:textId="77777777" w:rsidR="00931F15" w:rsidRPr="00662617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2617">
        <w:rPr>
          <w:rFonts w:ascii="Times New Roman" w:hAnsi="Times New Roman"/>
          <w:sz w:val="24"/>
          <w:szCs w:val="24"/>
          <w:u w:val="single"/>
        </w:rPr>
        <w:t>Vedlejší a ostatní náklady</w:t>
      </w:r>
      <w:r w:rsidRPr="00662617">
        <w:rPr>
          <w:rFonts w:ascii="Times New Roman" w:hAnsi="Times New Roman"/>
          <w:sz w:val="24"/>
          <w:szCs w:val="24"/>
          <w:u w:val="single"/>
        </w:rPr>
        <w:tab/>
        <w:t xml:space="preserve">       600 000,</w:t>
      </w:r>
      <w:r>
        <w:rPr>
          <w:rFonts w:ascii="Times New Roman" w:hAnsi="Times New Roman"/>
          <w:sz w:val="24"/>
          <w:szCs w:val="24"/>
          <w:u w:val="single"/>
        </w:rPr>
        <w:t>--</w:t>
      </w:r>
      <w:r w:rsidRPr="00662617">
        <w:rPr>
          <w:rFonts w:ascii="Times New Roman" w:hAnsi="Times New Roman"/>
          <w:sz w:val="24"/>
          <w:szCs w:val="24"/>
          <w:u w:val="single"/>
        </w:rPr>
        <w:t xml:space="preserve"> Kč bez DPH</w:t>
      </w:r>
      <w:r w:rsidRPr="00662617">
        <w:rPr>
          <w:rFonts w:ascii="Times New Roman" w:hAnsi="Times New Roman"/>
          <w:sz w:val="24"/>
          <w:szCs w:val="24"/>
          <w:u w:val="single"/>
        </w:rPr>
        <w:tab/>
        <w:t xml:space="preserve">      690 000,</w:t>
      </w:r>
      <w:r>
        <w:rPr>
          <w:rFonts w:ascii="Times New Roman" w:hAnsi="Times New Roman"/>
          <w:sz w:val="24"/>
          <w:szCs w:val="24"/>
          <w:u w:val="single"/>
        </w:rPr>
        <w:t>--</w:t>
      </w:r>
      <w:r w:rsidRPr="00662617">
        <w:rPr>
          <w:rFonts w:ascii="Times New Roman" w:hAnsi="Times New Roman"/>
          <w:sz w:val="24"/>
          <w:szCs w:val="24"/>
          <w:u w:val="single"/>
        </w:rPr>
        <w:t xml:space="preserve"> Kč s DPH</w:t>
      </w:r>
    </w:p>
    <w:p w14:paraId="172FB651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2617">
        <w:rPr>
          <w:rFonts w:ascii="Times New Roman" w:hAnsi="Times New Roman"/>
          <w:b/>
          <w:bCs/>
          <w:sz w:val="24"/>
          <w:szCs w:val="24"/>
        </w:rPr>
        <w:t>Celkem</w:t>
      </w:r>
      <w:r w:rsidRPr="00662617">
        <w:rPr>
          <w:rFonts w:ascii="Times New Roman" w:hAnsi="Times New Roman"/>
          <w:b/>
          <w:bCs/>
          <w:sz w:val="24"/>
          <w:szCs w:val="24"/>
        </w:rPr>
        <w:tab/>
      </w:r>
      <w:r w:rsidRPr="00662617">
        <w:rPr>
          <w:rFonts w:ascii="Times New Roman" w:hAnsi="Times New Roman"/>
          <w:b/>
          <w:bCs/>
          <w:sz w:val="24"/>
          <w:szCs w:val="24"/>
        </w:rPr>
        <w:tab/>
      </w:r>
      <w:r w:rsidRPr="00662617">
        <w:rPr>
          <w:rFonts w:ascii="Times New Roman" w:hAnsi="Times New Roman"/>
          <w:b/>
          <w:bCs/>
          <w:sz w:val="24"/>
          <w:szCs w:val="24"/>
        </w:rPr>
        <w:tab/>
        <w:t>24 659 609,16</w:t>
      </w:r>
      <w:r w:rsidRPr="00662617">
        <w:rPr>
          <w:rFonts w:ascii="Times New Roman" w:hAnsi="Times New Roman"/>
          <w:b/>
          <w:bCs/>
          <w:sz w:val="24"/>
          <w:szCs w:val="24"/>
        </w:rPr>
        <w:tab/>
        <w:t>Kč bez DPH</w:t>
      </w:r>
      <w:r w:rsidRPr="00662617">
        <w:rPr>
          <w:rFonts w:ascii="Times New Roman" w:hAnsi="Times New Roman"/>
          <w:b/>
          <w:bCs/>
          <w:sz w:val="24"/>
          <w:szCs w:val="24"/>
        </w:rPr>
        <w:tab/>
        <w:t xml:space="preserve"> 29 802 127,08 Kč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662617">
        <w:rPr>
          <w:rFonts w:ascii="Times New Roman" w:hAnsi="Times New Roman"/>
          <w:b/>
          <w:bCs/>
          <w:sz w:val="24"/>
          <w:szCs w:val="24"/>
        </w:rPr>
        <w:t>DPH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71F2A8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76D778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Položkový rozpočet je k dispozici k nahlédnutí na odboru školství a sportu, oddělení sportu.</w:t>
      </w:r>
    </w:p>
    <w:p w14:paraId="1C34F887" w14:textId="77777777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372F1608" w14:textId="7B6DD9B0" w:rsidR="00931F15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9F1F2A">
        <w:rPr>
          <w:b/>
          <w:bCs/>
          <w:color w:val="000000"/>
        </w:rPr>
        <w:t>Odbor investiční</w:t>
      </w:r>
      <w:r>
        <w:rPr>
          <w:color w:val="000000"/>
        </w:rPr>
        <w:t xml:space="preserve"> se seznámil s projektovou dokumentací, včetně rozpočtu, a konstatuje: </w:t>
      </w:r>
      <w:r w:rsidRPr="008B5BA0">
        <w:rPr>
          <w:color w:val="000000"/>
        </w:rPr>
        <w:t>Nelze říct, že je rozpočet nadhodnocený. Rozpočet neobsahuje žádné nepřiměřené práce ani</w:t>
      </w:r>
      <w:r w:rsidR="00047F86">
        <w:rPr>
          <w:color w:val="000000"/>
        </w:rPr>
        <w:t> </w:t>
      </w:r>
      <w:r w:rsidRPr="008B5BA0">
        <w:rPr>
          <w:color w:val="000000"/>
        </w:rPr>
        <w:t>materiály.</w:t>
      </w:r>
    </w:p>
    <w:p w14:paraId="246CF338" w14:textId="77777777" w:rsidR="00931F15" w:rsidRPr="00C0249A" w:rsidRDefault="00931F15" w:rsidP="00931F15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02BB7BAC" w14:textId="77777777" w:rsidR="00931F15" w:rsidRPr="00067D68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67D68">
        <w:rPr>
          <w:rFonts w:ascii="Times New Roman" w:hAnsi="Times New Roman"/>
          <w:sz w:val="24"/>
          <w:szCs w:val="24"/>
          <w:u w:val="single"/>
        </w:rPr>
        <w:t>Financování projektu:</w:t>
      </w:r>
    </w:p>
    <w:p w14:paraId="6D841E2B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D21">
        <w:rPr>
          <w:rFonts w:ascii="Times New Roman" w:hAnsi="Times New Roman"/>
          <w:bCs/>
          <w:sz w:val="24"/>
          <w:szCs w:val="24"/>
        </w:rPr>
        <w:t>Celkové odhadované náklady:</w:t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  <w:t>29 802 127,08 Kč</w:t>
      </w:r>
    </w:p>
    <w:p w14:paraId="008649AB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D21">
        <w:rPr>
          <w:rFonts w:ascii="Times New Roman" w:hAnsi="Times New Roman"/>
          <w:bCs/>
          <w:sz w:val="24"/>
          <w:szCs w:val="24"/>
        </w:rPr>
        <w:t>Dotace z prostředků státního rozpočtu: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C0249A">
        <w:rPr>
          <w:rFonts w:ascii="Times New Roman" w:hAnsi="Times New Roman"/>
          <w:bCs/>
          <w:sz w:val="24"/>
          <w:szCs w:val="24"/>
        </w:rPr>
        <w:t>20 </w:t>
      </w:r>
      <w:r w:rsidRPr="00F17D21">
        <w:rPr>
          <w:rFonts w:ascii="Times New Roman" w:hAnsi="Times New Roman"/>
          <w:bCs/>
          <w:sz w:val="24"/>
          <w:szCs w:val="24"/>
        </w:rPr>
        <w:t>861 488,96 Kč</w:t>
      </w:r>
    </w:p>
    <w:p w14:paraId="3AC4DAD8" w14:textId="77777777" w:rsidR="00931F15" w:rsidRPr="00C0249A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D21">
        <w:rPr>
          <w:rFonts w:ascii="Times New Roman" w:hAnsi="Times New Roman"/>
          <w:bCs/>
          <w:sz w:val="24"/>
          <w:szCs w:val="24"/>
        </w:rPr>
        <w:t>Dotace z rozpočtu SMO:</w:t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</w:r>
      <w:r w:rsidRPr="00F17D21">
        <w:rPr>
          <w:rFonts w:ascii="Times New Roman" w:hAnsi="Times New Roman"/>
          <w:bCs/>
          <w:sz w:val="24"/>
          <w:szCs w:val="24"/>
        </w:rPr>
        <w:tab/>
        <w:t xml:space="preserve">  5 960</w:t>
      </w:r>
      <w:r>
        <w:rPr>
          <w:rFonts w:ascii="Times New Roman" w:hAnsi="Times New Roman"/>
          <w:bCs/>
          <w:sz w:val="24"/>
          <w:szCs w:val="24"/>
        </w:rPr>
        <w:t> </w:t>
      </w:r>
      <w:r w:rsidRPr="00C0249A">
        <w:rPr>
          <w:rFonts w:ascii="Times New Roman" w:hAnsi="Times New Roman"/>
          <w:bCs/>
          <w:sz w:val="24"/>
          <w:szCs w:val="24"/>
        </w:rPr>
        <w:t>425</w:t>
      </w:r>
      <w:r>
        <w:rPr>
          <w:rFonts w:ascii="Times New Roman" w:hAnsi="Times New Roman"/>
          <w:bCs/>
          <w:sz w:val="24"/>
          <w:szCs w:val="24"/>
        </w:rPr>
        <w:t>,--</w:t>
      </w:r>
      <w:r w:rsidRPr="00C024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249A">
        <w:rPr>
          <w:rFonts w:ascii="Times New Roman" w:hAnsi="Times New Roman"/>
          <w:bCs/>
          <w:sz w:val="24"/>
          <w:szCs w:val="24"/>
        </w:rPr>
        <w:t>Kč</w:t>
      </w:r>
    </w:p>
    <w:p w14:paraId="2D0C7360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Dotace z rozpočtu MOb MOaP: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1 500 000,--  Kč</w:t>
      </w:r>
    </w:p>
    <w:p w14:paraId="51B30630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Dotace z rozpočtu MSK: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1 500 000,--  Kč</w:t>
      </w:r>
    </w:p>
    <w:p w14:paraId="5C0130E2" w14:textId="77777777" w:rsidR="00931F15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Vlastní zdroje: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0,--  Kč</w:t>
      </w:r>
    </w:p>
    <w:p w14:paraId="34BD38F3" w14:textId="77777777" w:rsidR="00931F15" w:rsidRPr="00F17D21" w:rsidRDefault="00931F15" w:rsidP="00931F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5A3E9CDD" w14:textId="77777777" w:rsidR="00931F15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>Požadovan</w:t>
      </w:r>
      <w:r>
        <w:rPr>
          <w:rFonts w:ascii="Times New Roman" w:hAnsi="Times New Roman"/>
          <w:sz w:val="24"/>
          <w:szCs w:val="24"/>
        </w:rPr>
        <w:t>á výše</w:t>
      </w:r>
      <w:r w:rsidRPr="00F17D21">
        <w:rPr>
          <w:rFonts w:ascii="Times New Roman" w:hAnsi="Times New Roman"/>
          <w:sz w:val="24"/>
          <w:szCs w:val="24"/>
        </w:rPr>
        <w:t xml:space="preserve"> finančních prostředků z rozpočtu SMO </w:t>
      </w:r>
      <w:r w:rsidRPr="00F17D21">
        <w:rPr>
          <w:rFonts w:ascii="Times New Roman" w:hAnsi="Times New Roman"/>
          <w:b/>
          <w:sz w:val="24"/>
          <w:szCs w:val="24"/>
        </w:rPr>
        <w:t>činí 20 % z konečné ceny investiční akce</w:t>
      </w:r>
      <w:r w:rsidRPr="00F17D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7D21">
        <w:rPr>
          <w:rFonts w:ascii="Times New Roman" w:hAnsi="Times New Roman"/>
          <w:b/>
          <w:sz w:val="24"/>
          <w:szCs w:val="24"/>
        </w:rPr>
        <w:t>5 960</w:t>
      </w:r>
      <w:r>
        <w:rPr>
          <w:rFonts w:ascii="Times New Roman" w:hAnsi="Times New Roman"/>
          <w:b/>
          <w:sz w:val="24"/>
          <w:szCs w:val="24"/>
        </w:rPr>
        <w:t> </w:t>
      </w:r>
      <w:r w:rsidRPr="00C0249A">
        <w:rPr>
          <w:rFonts w:ascii="Times New Roman" w:hAnsi="Times New Roman"/>
          <w:b/>
          <w:sz w:val="24"/>
          <w:szCs w:val="24"/>
        </w:rPr>
        <w:t>425</w:t>
      </w:r>
      <w:r>
        <w:rPr>
          <w:rFonts w:ascii="Times New Roman" w:hAnsi="Times New Roman"/>
          <w:b/>
          <w:sz w:val="24"/>
          <w:szCs w:val="24"/>
        </w:rPr>
        <w:t>,--</w:t>
      </w:r>
      <w:r w:rsidRPr="00C0249A">
        <w:rPr>
          <w:rFonts w:ascii="Times New Roman" w:hAnsi="Times New Roman"/>
          <w:b/>
          <w:sz w:val="24"/>
          <w:szCs w:val="24"/>
        </w:rPr>
        <w:t xml:space="preserve"> Kč.</w:t>
      </w:r>
      <w:r w:rsidRPr="00F17D21">
        <w:rPr>
          <w:rFonts w:ascii="Times New Roman" w:hAnsi="Times New Roman"/>
          <w:b/>
          <w:sz w:val="24"/>
          <w:szCs w:val="24"/>
        </w:rPr>
        <w:t xml:space="preserve"> </w:t>
      </w:r>
      <w:r w:rsidRPr="00F17D21">
        <w:rPr>
          <w:rFonts w:ascii="Times New Roman" w:hAnsi="Times New Roman"/>
          <w:sz w:val="24"/>
          <w:szCs w:val="24"/>
        </w:rPr>
        <w:t xml:space="preserve">Žadatel nežádá o předfinancování investiční akce z rozpočtu statutárního města Ostravy. </w:t>
      </w:r>
    </w:p>
    <w:p w14:paraId="2F14BB47" w14:textId="77777777" w:rsidR="00931F15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16956" w14:textId="3052713C" w:rsidR="00931F15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již podaných žádostí sportovních klubů o spolufinancování, které byly podány SMO,</w:t>
      </w:r>
      <w:r w:rsidR="005856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byla v minulosti požadována spoluúčast žadatele ve výši 10 % a SMO poskytovalo dotaci ve</w:t>
      </w:r>
      <w:r w:rsidR="00047F8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výši 10 – 30 % z konečné ceny investiční akce.</w:t>
      </w:r>
    </w:p>
    <w:p w14:paraId="3912DA37" w14:textId="77777777" w:rsidR="00931F15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A3EE2" w14:textId="77777777" w:rsidR="00931F15" w:rsidRPr="00F17D21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D21">
        <w:rPr>
          <w:rFonts w:ascii="Times New Roman" w:hAnsi="Times New Roman"/>
          <w:sz w:val="24"/>
          <w:szCs w:val="24"/>
        </w:rPr>
        <w:t xml:space="preserve">V případě úspěšnosti žádosti o dotaci </w:t>
      </w:r>
      <w:r>
        <w:rPr>
          <w:rFonts w:ascii="Times New Roman" w:hAnsi="Times New Roman"/>
          <w:sz w:val="24"/>
          <w:szCs w:val="24"/>
        </w:rPr>
        <w:t>u</w:t>
      </w:r>
      <w:r w:rsidRPr="00C0249A">
        <w:rPr>
          <w:rFonts w:ascii="Times New Roman" w:hAnsi="Times New Roman"/>
          <w:sz w:val="24"/>
          <w:szCs w:val="24"/>
        </w:rPr>
        <w:t xml:space="preserve"> Národní sportovní </w:t>
      </w:r>
      <w:r w:rsidRPr="00F17D21">
        <w:rPr>
          <w:rFonts w:ascii="Times New Roman" w:hAnsi="Times New Roman"/>
          <w:sz w:val="24"/>
          <w:szCs w:val="24"/>
        </w:rPr>
        <w:t>agentur</w:t>
      </w:r>
      <w:r>
        <w:rPr>
          <w:rFonts w:ascii="Times New Roman" w:hAnsi="Times New Roman"/>
          <w:sz w:val="24"/>
          <w:szCs w:val="24"/>
        </w:rPr>
        <w:t>y</w:t>
      </w:r>
      <w:r w:rsidRPr="00C0249A">
        <w:rPr>
          <w:rFonts w:ascii="Times New Roman" w:hAnsi="Times New Roman"/>
          <w:sz w:val="24"/>
          <w:szCs w:val="24"/>
        </w:rPr>
        <w:t xml:space="preserve"> v rámci programu Regionální sportovní infrastruktura, předloží </w:t>
      </w:r>
      <w:r>
        <w:rPr>
          <w:rFonts w:ascii="Times New Roman" w:hAnsi="Times New Roman"/>
          <w:sz w:val="24"/>
          <w:szCs w:val="24"/>
        </w:rPr>
        <w:t xml:space="preserve">žadatel </w:t>
      </w:r>
      <w:r w:rsidRPr="00C0249A">
        <w:rPr>
          <w:rFonts w:ascii="Times New Roman" w:hAnsi="Times New Roman"/>
          <w:sz w:val="24"/>
          <w:szCs w:val="24"/>
        </w:rPr>
        <w:t xml:space="preserve">žádost o poskytnutí </w:t>
      </w:r>
      <w:r w:rsidRPr="00C0249A">
        <w:rPr>
          <w:rFonts w:ascii="Times New Roman" w:hAnsi="Times New Roman"/>
          <w:b/>
          <w:sz w:val="24"/>
          <w:szCs w:val="24"/>
        </w:rPr>
        <w:t>mimořádné dotace</w:t>
      </w:r>
      <w:r w:rsidRPr="00F17D21">
        <w:rPr>
          <w:rFonts w:ascii="Times New Roman" w:hAnsi="Times New Roman"/>
          <w:sz w:val="24"/>
          <w:szCs w:val="24"/>
        </w:rPr>
        <w:t xml:space="preserve"> v souladu s usnesením orgánů města.</w:t>
      </w:r>
    </w:p>
    <w:p w14:paraId="725B21D7" w14:textId="77777777" w:rsidR="00931F15" w:rsidRPr="00F17D21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E28B9" w14:textId="72B4700D" w:rsidR="00931F15" w:rsidRDefault="00D9546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8BD">
        <w:rPr>
          <w:rFonts w:ascii="Times New Roman" w:hAnsi="Times New Roman"/>
          <w:bCs/>
          <w:sz w:val="24"/>
          <w:szCs w:val="24"/>
        </w:rPr>
        <w:t>“</w:t>
      </w:r>
      <w:r w:rsidR="00931F15" w:rsidRPr="006C6F10">
        <w:rPr>
          <w:rFonts w:ascii="Times New Roman" w:hAnsi="Times New Roman"/>
          <w:bCs/>
          <w:sz w:val="24"/>
          <w:szCs w:val="24"/>
        </w:rPr>
        <w:t>TJ U</w:t>
      </w:r>
      <w:r w:rsidR="00931F15">
        <w:rPr>
          <w:rFonts w:ascii="Times New Roman" w:hAnsi="Times New Roman"/>
          <w:bCs/>
          <w:sz w:val="24"/>
          <w:szCs w:val="24"/>
        </w:rPr>
        <w:t>NIE</w:t>
      </w:r>
      <w:r w:rsidR="00931F15" w:rsidRPr="006C6F10">
        <w:rPr>
          <w:rFonts w:ascii="Times New Roman" w:hAnsi="Times New Roman"/>
          <w:bCs/>
          <w:sz w:val="24"/>
          <w:szCs w:val="24"/>
        </w:rPr>
        <w:t xml:space="preserve"> H</w:t>
      </w:r>
      <w:r w:rsidR="00931F15">
        <w:rPr>
          <w:rFonts w:ascii="Times New Roman" w:hAnsi="Times New Roman"/>
          <w:bCs/>
          <w:sz w:val="24"/>
          <w:szCs w:val="24"/>
        </w:rPr>
        <w:t>LUBINA</w:t>
      </w:r>
      <w:r w:rsidR="00931F15" w:rsidRPr="006C6F10">
        <w:rPr>
          <w:rFonts w:ascii="Times New Roman" w:hAnsi="Times New Roman"/>
          <w:bCs/>
          <w:sz w:val="24"/>
          <w:szCs w:val="24"/>
        </w:rPr>
        <w:t xml:space="preserve"> z.s.</w:t>
      </w:r>
      <w:r w:rsidR="00931F15">
        <w:rPr>
          <w:rFonts w:ascii="Times New Roman" w:hAnsi="Times New Roman"/>
          <w:bCs/>
          <w:sz w:val="24"/>
          <w:szCs w:val="24"/>
        </w:rPr>
        <w:t>“</w:t>
      </w:r>
      <w:r w:rsidR="00931F15" w:rsidRPr="00F17D21">
        <w:rPr>
          <w:rFonts w:ascii="Times New Roman" w:hAnsi="Times New Roman"/>
          <w:sz w:val="24"/>
          <w:szCs w:val="24"/>
        </w:rPr>
        <w:t xml:space="preserve"> podal rovněž žádost o spolufinancování</w:t>
      </w:r>
      <w:r w:rsidR="00931F15">
        <w:rPr>
          <w:rFonts w:ascii="Times New Roman" w:hAnsi="Times New Roman"/>
          <w:sz w:val="24"/>
          <w:szCs w:val="24"/>
        </w:rPr>
        <w:t xml:space="preserve"> na</w:t>
      </w:r>
      <w:r w:rsidR="00931F15" w:rsidRPr="00F17D21">
        <w:rPr>
          <w:rFonts w:ascii="Times New Roman" w:hAnsi="Times New Roman"/>
          <w:sz w:val="24"/>
          <w:szCs w:val="24"/>
        </w:rPr>
        <w:t xml:space="preserve"> Moravskoslezský</w:t>
      </w:r>
      <w:r w:rsidR="00931F15" w:rsidRPr="00C0249A">
        <w:rPr>
          <w:rFonts w:ascii="Times New Roman" w:hAnsi="Times New Roman"/>
          <w:sz w:val="24"/>
          <w:szCs w:val="24"/>
        </w:rPr>
        <w:t xml:space="preserve"> kraj (5 %, tj</w:t>
      </w:r>
      <w:r w:rsidR="00931F15" w:rsidRPr="00F17D21">
        <w:rPr>
          <w:rFonts w:ascii="Times New Roman" w:hAnsi="Times New Roman"/>
          <w:sz w:val="24"/>
          <w:szCs w:val="24"/>
        </w:rPr>
        <w:t>: 1,5 mil.</w:t>
      </w:r>
      <w:r w:rsidR="00931F15">
        <w:rPr>
          <w:rFonts w:ascii="Times New Roman" w:hAnsi="Times New Roman"/>
          <w:sz w:val="24"/>
          <w:szCs w:val="24"/>
        </w:rPr>
        <w:t xml:space="preserve"> Kč</w:t>
      </w:r>
      <w:r w:rsidR="00931F15" w:rsidRPr="00C0249A">
        <w:rPr>
          <w:rFonts w:ascii="Times New Roman" w:hAnsi="Times New Roman"/>
          <w:sz w:val="24"/>
          <w:szCs w:val="24"/>
        </w:rPr>
        <w:t xml:space="preserve">) a městský </w:t>
      </w:r>
      <w:r w:rsidR="00931F15" w:rsidRPr="00F17D21">
        <w:rPr>
          <w:rFonts w:ascii="Times New Roman" w:hAnsi="Times New Roman"/>
          <w:sz w:val="24"/>
          <w:szCs w:val="24"/>
        </w:rPr>
        <w:t>obvod Moravská Ostrava a Přívoz (5 %, tj.: 1,5</w:t>
      </w:r>
      <w:r w:rsidR="00931F15">
        <w:rPr>
          <w:rFonts w:ascii="Times New Roman" w:hAnsi="Times New Roman"/>
          <w:sz w:val="24"/>
          <w:szCs w:val="24"/>
        </w:rPr>
        <w:t> </w:t>
      </w:r>
      <w:r w:rsidR="00931F15" w:rsidRPr="00F17D21">
        <w:rPr>
          <w:rFonts w:ascii="Times New Roman" w:hAnsi="Times New Roman"/>
          <w:sz w:val="24"/>
          <w:szCs w:val="24"/>
        </w:rPr>
        <w:t>mil.</w:t>
      </w:r>
      <w:r w:rsidR="00931F15">
        <w:rPr>
          <w:rFonts w:ascii="Times New Roman" w:hAnsi="Times New Roman"/>
          <w:sz w:val="24"/>
          <w:szCs w:val="24"/>
        </w:rPr>
        <w:t> </w:t>
      </w:r>
      <w:r w:rsidR="00931F15" w:rsidRPr="00C0249A">
        <w:rPr>
          <w:rFonts w:ascii="Times New Roman" w:hAnsi="Times New Roman"/>
          <w:sz w:val="24"/>
          <w:szCs w:val="24"/>
        </w:rPr>
        <w:t xml:space="preserve">Kč), </w:t>
      </w:r>
      <w:r w:rsidR="00931F15" w:rsidRPr="00F17D21">
        <w:rPr>
          <w:rFonts w:ascii="Times New Roman" w:hAnsi="Times New Roman"/>
          <w:sz w:val="24"/>
          <w:szCs w:val="24"/>
        </w:rPr>
        <w:t>s tím, že chybějící finanční prostředky budou kryty z vlastních zdrojů žadatele.</w:t>
      </w:r>
    </w:p>
    <w:p w14:paraId="3A08C5F8" w14:textId="1CBEA72E" w:rsidR="00931F15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04FC6" w14:textId="77777777" w:rsidR="003432CF" w:rsidRPr="00B958BD" w:rsidRDefault="003432CF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9F9767" w14:textId="77777777" w:rsidR="00931F15" w:rsidRPr="00B958BD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58BD">
        <w:rPr>
          <w:rFonts w:ascii="Times New Roman" w:hAnsi="Times New Roman"/>
          <w:b/>
          <w:sz w:val="24"/>
          <w:szCs w:val="24"/>
        </w:rPr>
        <w:lastRenderedPageBreak/>
        <w:t>Stanovisko odboru školství a sportu</w:t>
      </w:r>
    </w:p>
    <w:p w14:paraId="6E80423A" w14:textId="77777777" w:rsidR="00931F15" w:rsidRPr="00B958BD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6473E4" w14:textId="6F4D50B9" w:rsidR="003432CF" w:rsidRDefault="003432CF" w:rsidP="003432CF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58BD">
        <w:rPr>
          <w:rFonts w:ascii="Times New Roman" w:hAnsi="Times New Roman"/>
          <w:bCs/>
          <w:sz w:val="24"/>
          <w:szCs w:val="24"/>
        </w:rPr>
        <w:t>“TJ UNIE HLUBINA z.s.“ byl, v rámci poskytnutých dotací spolku v období 2016 - 2021, podpořen z rozpočtu statutárního města Ostrav</w:t>
      </w:r>
      <w:r>
        <w:rPr>
          <w:rFonts w:ascii="Times New Roman" w:hAnsi="Times New Roman"/>
          <w:bCs/>
          <w:sz w:val="24"/>
          <w:szCs w:val="24"/>
        </w:rPr>
        <w:t>y</w:t>
      </w:r>
      <w:r w:rsidRPr="00B958BD">
        <w:rPr>
          <w:rFonts w:ascii="Times New Roman" w:hAnsi="Times New Roman"/>
          <w:bCs/>
          <w:sz w:val="24"/>
          <w:szCs w:val="24"/>
        </w:rPr>
        <w:t xml:space="preserve"> částkou 14 485 100 Kč.</w:t>
      </w:r>
    </w:p>
    <w:p w14:paraId="10C93B32" w14:textId="77777777" w:rsidR="003432CF" w:rsidRPr="00B958BD" w:rsidRDefault="003432CF" w:rsidP="003432CF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7995FE" w14:textId="15F55396" w:rsidR="00931F15" w:rsidRDefault="00931F15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8BD">
        <w:rPr>
          <w:rFonts w:ascii="Times New Roman" w:hAnsi="Times New Roman"/>
          <w:bCs/>
          <w:sz w:val="24"/>
          <w:szCs w:val="24"/>
        </w:rPr>
        <w:t>Dle aktuálních informací odboru školství a sportu,</w:t>
      </w:r>
      <w:r w:rsidRPr="00B958BD">
        <w:rPr>
          <w:rFonts w:ascii="Times New Roman" w:hAnsi="Times New Roman"/>
          <w:sz w:val="24"/>
          <w:szCs w:val="24"/>
        </w:rPr>
        <w:t xml:space="preserve"> nemá </w:t>
      </w:r>
      <w:r w:rsidR="00D95465" w:rsidRPr="00B958BD">
        <w:rPr>
          <w:rFonts w:ascii="Times New Roman" w:hAnsi="Times New Roman"/>
          <w:bCs/>
          <w:sz w:val="24"/>
          <w:szCs w:val="24"/>
        </w:rPr>
        <w:t>“</w:t>
      </w:r>
      <w:r w:rsidRPr="00B958BD">
        <w:rPr>
          <w:rFonts w:ascii="Times New Roman" w:hAnsi="Times New Roman"/>
          <w:sz w:val="24"/>
          <w:szCs w:val="24"/>
        </w:rPr>
        <w:t>TJ UNIE HLUBINA z.s.</w:t>
      </w:r>
      <w:r>
        <w:rPr>
          <w:rFonts w:ascii="Times New Roman" w:hAnsi="Times New Roman"/>
          <w:sz w:val="24"/>
          <w:szCs w:val="24"/>
        </w:rPr>
        <w:t>“</w:t>
      </w:r>
      <w:r w:rsidRPr="00B958BD">
        <w:rPr>
          <w:rFonts w:ascii="Times New Roman" w:hAnsi="Times New Roman"/>
          <w:sz w:val="24"/>
          <w:szCs w:val="24"/>
        </w:rPr>
        <w:t xml:space="preserve"> zajištěn</w:t>
      </w:r>
      <w:r w:rsidR="00AC443C">
        <w:rPr>
          <w:rFonts w:ascii="Times New Roman" w:hAnsi="Times New Roman"/>
          <w:sz w:val="24"/>
          <w:szCs w:val="24"/>
        </w:rPr>
        <w:t>o</w:t>
      </w:r>
      <w:r w:rsidRPr="00B958BD">
        <w:rPr>
          <w:rFonts w:ascii="Times New Roman" w:hAnsi="Times New Roman"/>
          <w:sz w:val="24"/>
          <w:szCs w:val="24"/>
        </w:rPr>
        <w:t xml:space="preserve"> financování </w:t>
      </w:r>
      <w:r>
        <w:rPr>
          <w:rFonts w:ascii="Times New Roman" w:hAnsi="Times New Roman"/>
          <w:sz w:val="24"/>
          <w:szCs w:val="24"/>
        </w:rPr>
        <w:t>m</w:t>
      </w:r>
      <w:r w:rsidRPr="00B958BD">
        <w:rPr>
          <w:rFonts w:ascii="Times New Roman" w:hAnsi="Times New Roman"/>
          <w:sz w:val="24"/>
          <w:szCs w:val="24"/>
        </w:rPr>
        <w:t>ěstského obvodu Moravská Ostrava a Přívoz a Moravskoslezského kraje. Odbor školství a sportu navrhuje poskytnout finanční prostředky za</w:t>
      </w:r>
      <w:r>
        <w:rPr>
          <w:rFonts w:ascii="Times New Roman" w:hAnsi="Times New Roman"/>
          <w:sz w:val="24"/>
          <w:szCs w:val="24"/>
        </w:rPr>
        <w:t> </w:t>
      </w:r>
      <w:r w:rsidRPr="00B958BD">
        <w:rPr>
          <w:rFonts w:ascii="Times New Roman" w:hAnsi="Times New Roman"/>
          <w:sz w:val="24"/>
          <w:szCs w:val="24"/>
        </w:rPr>
        <w:t>podmínky zajištění těchto (popř.</w:t>
      </w:r>
      <w:r w:rsidR="005856B3">
        <w:rPr>
          <w:rFonts w:ascii="Times New Roman" w:hAnsi="Times New Roman"/>
          <w:sz w:val="24"/>
          <w:szCs w:val="24"/>
        </w:rPr>
        <w:t> </w:t>
      </w:r>
      <w:r w:rsidRPr="00B958BD">
        <w:rPr>
          <w:rFonts w:ascii="Times New Roman" w:hAnsi="Times New Roman"/>
          <w:sz w:val="24"/>
          <w:szCs w:val="24"/>
        </w:rPr>
        <w:t>jiných vlastních) zdrojů.</w:t>
      </w:r>
    </w:p>
    <w:p w14:paraId="7F9464B3" w14:textId="7AE8249B" w:rsidR="00DC2139" w:rsidRDefault="00DC2139" w:rsidP="00931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138A2" w14:textId="46F00682" w:rsidR="00DC2139" w:rsidRDefault="00DC2139" w:rsidP="00931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Stanovisko rady města</w:t>
      </w:r>
    </w:p>
    <w:p w14:paraId="013691AE" w14:textId="257F7BA2" w:rsidR="00DC2139" w:rsidRDefault="00DC2139" w:rsidP="00931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C735F9" w14:textId="2E18EF65" w:rsidR="00DC2139" w:rsidRPr="00DC2139" w:rsidRDefault="00DC2139" w:rsidP="00DC21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2139">
        <w:rPr>
          <w:rFonts w:ascii="Times New Roman" w:hAnsi="Times New Roman" w:cs="Times New Roman"/>
          <w:sz w:val="24"/>
          <w:szCs w:val="24"/>
        </w:rPr>
        <w:t>Rada města svým usnesením č</w:t>
      </w:r>
      <w:r w:rsidR="00FC6583">
        <w:rPr>
          <w:rFonts w:ascii="Times New Roman" w:hAnsi="Times New Roman" w:cs="Times New Roman"/>
          <w:sz w:val="24"/>
          <w:szCs w:val="24"/>
        </w:rPr>
        <w:t>. 07523/RM1822/115</w:t>
      </w:r>
      <w:r w:rsidRPr="00DC2139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C2139">
        <w:rPr>
          <w:rFonts w:ascii="Times New Roman" w:hAnsi="Times New Roman" w:cs="Times New Roman"/>
          <w:sz w:val="24"/>
          <w:szCs w:val="24"/>
        </w:rPr>
        <w:t>.</w:t>
      </w:r>
      <w:r w:rsidR="00A445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9.</w:t>
      </w:r>
      <w:r w:rsidR="00A44574">
        <w:rPr>
          <w:rFonts w:ascii="Times New Roman" w:hAnsi="Times New Roman" w:cs="Times New Roman"/>
          <w:sz w:val="24"/>
          <w:szCs w:val="24"/>
        </w:rPr>
        <w:t> </w:t>
      </w:r>
      <w:r w:rsidRPr="00DC2139">
        <w:rPr>
          <w:rFonts w:ascii="Times New Roman" w:hAnsi="Times New Roman" w:cs="Times New Roman"/>
          <w:sz w:val="24"/>
          <w:szCs w:val="24"/>
        </w:rPr>
        <w:t>2021 doporučuje zastupitelstvu města rozhodnout dle předloženého návrhu usnesení a důvodové zprávy.</w:t>
      </w:r>
    </w:p>
    <w:p w14:paraId="26B6AAE7" w14:textId="77777777" w:rsidR="00DC2139" w:rsidRPr="00DC2139" w:rsidRDefault="00DC2139" w:rsidP="00931F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7C12E7" w14:textId="77777777" w:rsidR="00931F15" w:rsidRPr="00B958BD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EE1BC2" w14:textId="77777777" w:rsidR="00931F15" w:rsidRPr="00FA2B9D" w:rsidRDefault="00931F15" w:rsidP="00931F1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31F15" w:rsidRPr="00FA2B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C8D4" w14:textId="77777777" w:rsidR="00A90CAB" w:rsidRDefault="00A90CAB" w:rsidP="007D4B47">
      <w:pPr>
        <w:spacing w:after="0" w:line="240" w:lineRule="auto"/>
      </w:pPr>
      <w:r>
        <w:separator/>
      </w:r>
    </w:p>
  </w:endnote>
  <w:endnote w:type="continuationSeparator" w:id="0">
    <w:p w14:paraId="739B4F3F" w14:textId="77777777" w:rsidR="00A90CAB" w:rsidRDefault="00A90CAB" w:rsidP="007D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8110955"/>
      <w:docPartObj>
        <w:docPartGallery w:val="Page Numbers (Bottom of Page)"/>
        <w:docPartUnique/>
      </w:docPartObj>
    </w:sdtPr>
    <w:sdtEndPr/>
    <w:sdtContent>
      <w:p w14:paraId="443A38C5" w14:textId="77777777" w:rsidR="00E95ADE" w:rsidRDefault="00E95A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4CA">
          <w:rPr>
            <w:noProof/>
          </w:rPr>
          <w:t>3</w:t>
        </w:r>
        <w:r>
          <w:fldChar w:fldCharType="end"/>
        </w:r>
      </w:p>
    </w:sdtContent>
  </w:sdt>
  <w:p w14:paraId="08A0B77C" w14:textId="77777777" w:rsidR="00E95ADE" w:rsidRDefault="00E95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94E5F" w14:textId="77777777" w:rsidR="00A90CAB" w:rsidRDefault="00A90CAB" w:rsidP="007D4B47">
      <w:pPr>
        <w:spacing w:after="0" w:line="240" w:lineRule="auto"/>
      </w:pPr>
      <w:r>
        <w:separator/>
      </w:r>
    </w:p>
  </w:footnote>
  <w:footnote w:type="continuationSeparator" w:id="0">
    <w:p w14:paraId="18DE3225" w14:textId="77777777" w:rsidR="00A90CAB" w:rsidRDefault="00A90CAB" w:rsidP="007D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755D9"/>
    <w:multiLevelType w:val="hybridMultilevel"/>
    <w:tmpl w:val="DCC8979E"/>
    <w:lvl w:ilvl="0" w:tplc="FD544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024"/>
    <w:multiLevelType w:val="hybridMultilevel"/>
    <w:tmpl w:val="20360D00"/>
    <w:lvl w:ilvl="0" w:tplc="578A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02DF9"/>
    <w:multiLevelType w:val="hybridMultilevel"/>
    <w:tmpl w:val="305C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5770"/>
    <w:multiLevelType w:val="hybridMultilevel"/>
    <w:tmpl w:val="0C521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E0EAE"/>
    <w:multiLevelType w:val="hybridMultilevel"/>
    <w:tmpl w:val="305C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6670"/>
    <w:multiLevelType w:val="hybridMultilevel"/>
    <w:tmpl w:val="20360D00"/>
    <w:lvl w:ilvl="0" w:tplc="578A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E6C6A"/>
    <w:multiLevelType w:val="hybridMultilevel"/>
    <w:tmpl w:val="C9520AA4"/>
    <w:lvl w:ilvl="0" w:tplc="2CECAE3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B1"/>
    <w:rsid w:val="00011F80"/>
    <w:rsid w:val="00037A8F"/>
    <w:rsid w:val="00047F86"/>
    <w:rsid w:val="000B1E21"/>
    <w:rsid w:val="00124AE5"/>
    <w:rsid w:val="00125530"/>
    <w:rsid w:val="001304FB"/>
    <w:rsid w:val="001777EA"/>
    <w:rsid w:val="00193D57"/>
    <w:rsid w:val="001A5234"/>
    <w:rsid w:val="001C2084"/>
    <w:rsid w:val="00206362"/>
    <w:rsid w:val="00240D25"/>
    <w:rsid w:val="00262904"/>
    <w:rsid w:val="0028484A"/>
    <w:rsid w:val="00295FC4"/>
    <w:rsid w:val="002D30D5"/>
    <w:rsid w:val="00304FE7"/>
    <w:rsid w:val="003214CA"/>
    <w:rsid w:val="003412F0"/>
    <w:rsid w:val="003432CF"/>
    <w:rsid w:val="0035415B"/>
    <w:rsid w:val="00387302"/>
    <w:rsid w:val="00396E35"/>
    <w:rsid w:val="003C2968"/>
    <w:rsid w:val="003E1234"/>
    <w:rsid w:val="003E2498"/>
    <w:rsid w:val="0042773F"/>
    <w:rsid w:val="004460AA"/>
    <w:rsid w:val="00474404"/>
    <w:rsid w:val="00496DA5"/>
    <w:rsid w:val="004B35BA"/>
    <w:rsid w:val="00504358"/>
    <w:rsid w:val="00516E05"/>
    <w:rsid w:val="0052380A"/>
    <w:rsid w:val="0052629D"/>
    <w:rsid w:val="00541D86"/>
    <w:rsid w:val="00544353"/>
    <w:rsid w:val="00555886"/>
    <w:rsid w:val="00577920"/>
    <w:rsid w:val="005856B3"/>
    <w:rsid w:val="00586A92"/>
    <w:rsid w:val="005A5643"/>
    <w:rsid w:val="005E1ED9"/>
    <w:rsid w:val="005F0EE8"/>
    <w:rsid w:val="006401D8"/>
    <w:rsid w:val="006526C6"/>
    <w:rsid w:val="0065375A"/>
    <w:rsid w:val="00671003"/>
    <w:rsid w:val="006A2250"/>
    <w:rsid w:val="006E16EA"/>
    <w:rsid w:val="006F420A"/>
    <w:rsid w:val="00703004"/>
    <w:rsid w:val="00720046"/>
    <w:rsid w:val="00720AFA"/>
    <w:rsid w:val="00752694"/>
    <w:rsid w:val="007D4B47"/>
    <w:rsid w:val="00814C48"/>
    <w:rsid w:val="0082154D"/>
    <w:rsid w:val="008A70B1"/>
    <w:rsid w:val="008C30CF"/>
    <w:rsid w:val="008D331F"/>
    <w:rsid w:val="008F3987"/>
    <w:rsid w:val="008F766F"/>
    <w:rsid w:val="0090104A"/>
    <w:rsid w:val="009025D8"/>
    <w:rsid w:val="00931F15"/>
    <w:rsid w:val="00994267"/>
    <w:rsid w:val="009A7075"/>
    <w:rsid w:val="009A7E10"/>
    <w:rsid w:val="009B2C21"/>
    <w:rsid w:val="00A44574"/>
    <w:rsid w:val="00A628AB"/>
    <w:rsid w:val="00A90CAB"/>
    <w:rsid w:val="00A90CCE"/>
    <w:rsid w:val="00AA1656"/>
    <w:rsid w:val="00AA2E6E"/>
    <w:rsid w:val="00AA6B7B"/>
    <w:rsid w:val="00AC443C"/>
    <w:rsid w:val="00AC7E46"/>
    <w:rsid w:val="00AF00A2"/>
    <w:rsid w:val="00B1443E"/>
    <w:rsid w:val="00B62125"/>
    <w:rsid w:val="00B71C04"/>
    <w:rsid w:val="00BD4CFA"/>
    <w:rsid w:val="00C2280B"/>
    <w:rsid w:val="00CB1661"/>
    <w:rsid w:val="00CD4FFC"/>
    <w:rsid w:val="00CE21A7"/>
    <w:rsid w:val="00D1097D"/>
    <w:rsid w:val="00D30078"/>
    <w:rsid w:val="00D70706"/>
    <w:rsid w:val="00D942A2"/>
    <w:rsid w:val="00D95465"/>
    <w:rsid w:val="00DB6543"/>
    <w:rsid w:val="00DC2139"/>
    <w:rsid w:val="00DD349C"/>
    <w:rsid w:val="00DE3998"/>
    <w:rsid w:val="00E00F3E"/>
    <w:rsid w:val="00E17F85"/>
    <w:rsid w:val="00E33BD1"/>
    <w:rsid w:val="00E6582A"/>
    <w:rsid w:val="00E95ADE"/>
    <w:rsid w:val="00F04A40"/>
    <w:rsid w:val="00F22735"/>
    <w:rsid w:val="00F57AE2"/>
    <w:rsid w:val="00F60234"/>
    <w:rsid w:val="00F82BE4"/>
    <w:rsid w:val="00F97209"/>
    <w:rsid w:val="00FC0C5D"/>
    <w:rsid w:val="00FC6583"/>
    <w:rsid w:val="00FC6A96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B9F9"/>
  <w15:docId w15:val="{07DBAC20-C374-486B-BD66-F30884A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  <w:style w:type="paragraph" w:customStyle="1" w:styleId="JVS1">
    <w:name w:val="JVS_1"/>
    <w:rsid w:val="009A7E1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B47"/>
  </w:style>
  <w:style w:type="paragraph" w:styleId="Zpat">
    <w:name w:val="footer"/>
    <w:basedOn w:val="Normln"/>
    <w:link w:val="Zpat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B47"/>
  </w:style>
  <w:style w:type="paragraph" w:customStyle="1" w:styleId="Default">
    <w:name w:val="Default"/>
    <w:rsid w:val="00555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3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Kučerová Denisa</cp:lastModifiedBy>
  <cp:revision>4</cp:revision>
  <cp:lastPrinted>2019-10-03T11:49:00Z</cp:lastPrinted>
  <dcterms:created xsi:type="dcterms:W3CDTF">2021-09-13T14:26:00Z</dcterms:created>
  <dcterms:modified xsi:type="dcterms:W3CDTF">2021-09-14T08:26:00Z</dcterms:modified>
</cp:coreProperties>
</file>