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3C5" w:rsidRDefault="009D53C5" w:rsidP="00F02D1E">
      <w:pPr>
        <w:pStyle w:val="MSKDuvodovazpravaZacatek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44"/>
          <w:szCs w:val="44"/>
          <w:u w:val="none"/>
        </w:rPr>
      </w:pPr>
      <w:r w:rsidRPr="00F02D1E">
        <w:rPr>
          <w:rFonts w:ascii="Times New Roman" w:hAnsi="Times New Roman" w:cs="Times New Roman"/>
          <w:b/>
          <w:bCs/>
          <w:sz w:val="44"/>
          <w:szCs w:val="44"/>
          <w:u w:val="none"/>
        </w:rPr>
        <w:t>Důvodová zpráva:</w:t>
      </w:r>
    </w:p>
    <w:p w:rsidR="00F02D1E" w:rsidRPr="00F02D1E" w:rsidRDefault="00F02D1E" w:rsidP="00F02D1E">
      <w:pPr>
        <w:pStyle w:val="MSKNormal"/>
      </w:pPr>
    </w:p>
    <w:p w:rsidR="009D53C5" w:rsidRPr="0085253D" w:rsidRDefault="000242C2" w:rsidP="000242C2">
      <w:pPr>
        <w:pStyle w:val="MSKNormal"/>
        <w:spacing w:before="120"/>
        <w:rPr>
          <w:b/>
          <w:bCs/>
          <w:sz w:val="28"/>
          <w:szCs w:val="28"/>
          <w:u w:val="single"/>
        </w:rPr>
      </w:pPr>
      <w:r w:rsidRPr="0085253D">
        <w:rPr>
          <w:b/>
          <w:bCs/>
          <w:sz w:val="28"/>
          <w:szCs w:val="28"/>
          <w:u w:val="single"/>
        </w:rPr>
        <w:t>Shrnutí dosavadní</w:t>
      </w:r>
      <w:r w:rsidR="00E0365E" w:rsidRPr="0085253D">
        <w:rPr>
          <w:b/>
          <w:bCs/>
          <w:sz w:val="28"/>
          <w:szCs w:val="28"/>
          <w:u w:val="single"/>
        </w:rPr>
        <w:t>ho</w:t>
      </w:r>
      <w:r w:rsidRPr="0085253D">
        <w:rPr>
          <w:b/>
          <w:bCs/>
          <w:sz w:val="28"/>
          <w:szCs w:val="28"/>
          <w:u w:val="single"/>
        </w:rPr>
        <w:t xml:space="preserve"> stavu </w:t>
      </w:r>
    </w:p>
    <w:p w:rsidR="009D53C5" w:rsidRPr="001673F3" w:rsidRDefault="009D53C5" w:rsidP="001673F3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 xml:space="preserve">Společnost Moravskoslezské inovační centrum Ostrava, a.s. (dále „MSIC“) </w:t>
      </w:r>
      <w:r w:rsidR="00902418" w:rsidRPr="001673F3">
        <w:rPr>
          <w:sz w:val="22"/>
          <w:szCs w:val="22"/>
        </w:rPr>
        <w:t xml:space="preserve">vznikla k 1. 7. 2017 transformací Vědecko-technologického parku Ostrava, </w:t>
      </w:r>
      <w:r w:rsidR="00F02D1E">
        <w:rPr>
          <w:sz w:val="22"/>
          <w:szCs w:val="22"/>
        </w:rPr>
        <w:t>dle</w:t>
      </w:r>
      <w:r w:rsidR="00902418" w:rsidRPr="001673F3">
        <w:rPr>
          <w:sz w:val="22"/>
          <w:szCs w:val="22"/>
        </w:rPr>
        <w:t xml:space="preserve"> Memoranda</w:t>
      </w:r>
      <w:r w:rsidR="00F02D1E">
        <w:rPr>
          <w:sz w:val="22"/>
          <w:szCs w:val="22"/>
        </w:rPr>
        <w:t xml:space="preserve"> </w:t>
      </w:r>
      <w:r w:rsidR="00902418" w:rsidRPr="001673F3">
        <w:rPr>
          <w:sz w:val="22"/>
          <w:szCs w:val="22"/>
        </w:rPr>
        <w:t xml:space="preserve">o spolupráci v oblasti podnikání a inovací mezi vedením </w:t>
      </w:r>
      <w:r w:rsidR="001673F3">
        <w:rPr>
          <w:sz w:val="22"/>
          <w:szCs w:val="22"/>
        </w:rPr>
        <w:t>Moravskoslezského kraje</w:t>
      </w:r>
      <w:r w:rsidR="00902418" w:rsidRPr="001673F3">
        <w:rPr>
          <w:sz w:val="22"/>
          <w:szCs w:val="22"/>
        </w:rPr>
        <w:t xml:space="preserve"> a </w:t>
      </w:r>
      <w:r w:rsidR="001673F3">
        <w:rPr>
          <w:sz w:val="22"/>
          <w:szCs w:val="22"/>
        </w:rPr>
        <w:t xml:space="preserve">statutárního </w:t>
      </w:r>
      <w:r w:rsidR="00902418" w:rsidRPr="001673F3">
        <w:rPr>
          <w:sz w:val="22"/>
          <w:szCs w:val="22"/>
        </w:rPr>
        <w:t>města</w:t>
      </w:r>
      <w:r w:rsidR="001673F3">
        <w:rPr>
          <w:sz w:val="22"/>
          <w:szCs w:val="22"/>
        </w:rPr>
        <w:t xml:space="preserve"> Ostrava</w:t>
      </w:r>
      <w:r w:rsidR="00902418" w:rsidRPr="001673F3">
        <w:rPr>
          <w:sz w:val="22"/>
          <w:szCs w:val="22"/>
        </w:rPr>
        <w:t xml:space="preserve">, jehož podstatou byl společný zájem na koordinaci inovačního prostředí v rámci kraje a zajištění nabídky kvalitních služeb na podporu inovačních aktivit regionálních firem. </w:t>
      </w:r>
    </w:p>
    <w:p w:rsidR="009D53C5" w:rsidRPr="001673F3" w:rsidRDefault="009D53C5" w:rsidP="009D53C5">
      <w:pPr>
        <w:pStyle w:val="MSKNormal"/>
        <w:rPr>
          <w:sz w:val="22"/>
          <w:szCs w:val="22"/>
        </w:rPr>
      </w:pPr>
    </w:p>
    <w:p w:rsidR="009D53C5" w:rsidRPr="001673F3" w:rsidRDefault="001673F3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Hlavními akcionáři společnosti jsou </w:t>
      </w:r>
      <w:r w:rsidR="009D53C5" w:rsidRPr="001673F3">
        <w:rPr>
          <w:sz w:val="22"/>
          <w:szCs w:val="22"/>
        </w:rPr>
        <w:t>Moravskoslezský kraj (dále „MSK“) a statutární město Ostrava (dále „SMO“)</w:t>
      </w:r>
      <w:r>
        <w:rPr>
          <w:sz w:val="22"/>
          <w:szCs w:val="22"/>
        </w:rPr>
        <w:t xml:space="preserve"> vlastnící každý 45% podíl společnosti</w:t>
      </w:r>
      <w:r w:rsidR="009D53C5" w:rsidRPr="001673F3">
        <w:rPr>
          <w:sz w:val="22"/>
          <w:szCs w:val="22"/>
        </w:rPr>
        <w:t xml:space="preserve">, zbývajících 10 % je rozděleno mezi Vysokou školu báňskou </w:t>
      </w:r>
      <w:r>
        <w:rPr>
          <w:sz w:val="22"/>
          <w:szCs w:val="22"/>
        </w:rPr>
        <w:t>-</w:t>
      </w:r>
      <w:r w:rsidR="009D53C5" w:rsidRPr="001673F3">
        <w:rPr>
          <w:sz w:val="22"/>
          <w:szCs w:val="22"/>
        </w:rPr>
        <w:t xml:space="preserve"> Technickou univerzitu Ostrava, Ostravskou univerzitu</w:t>
      </w:r>
      <w:r w:rsidR="00BE21DD" w:rsidRPr="001673F3">
        <w:rPr>
          <w:sz w:val="22"/>
          <w:szCs w:val="22"/>
        </w:rPr>
        <w:t xml:space="preserve"> a Slezskou univerzitu v Opavě.</w:t>
      </w:r>
    </w:p>
    <w:p w:rsidR="00BE21DD" w:rsidRPr="001673F3" w:rsidRDefault="00BE21DD" w:rsidP="009D53C5">
      <w:pPr>
        <w:pStyle w:val="MSKNormal"/>
        <w:rPr>
          <w:sz w:val="22"/>
          <w:szCs w:val="22"/>
        </w:rPr>
      </w:pPr>
    </w:p>
    <w:p w:rsidR="00BE21DD" w:rsidRPr="001673F3" w:rsidRDefault="00B46592" w:rsidP="009D53C5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>Poslání</w:t>
      </w:r>
      <w:r w:rsidR="003F5D6F">
        <w:rPr>
          <w:sz w:val="22"/>
          <w:szCs w:val="22"/>
        </w:rPr>
        <w:t>m</w:t>
      </w:r>
      <w:r w:rsidRPr="001673F3">
        <w:rPr>
          <w:sz w:val="22"/>
          <w:szCs w:val="22"/>
        </w:rPr>
        <w:t xml:space="preserve"> MSIC je rozvoj inovačního ekosystému spočívající v poskytování služeb, které není možné zajistit na komerční bázi, a to z důvodu, že buď nabízeny nejsou nebo nejsou nabízeny v dostatečné kvalitě, dosažitelné ceně či za jinak relevantních podmínek. </w:t>
      </w:r>
      <w:r w:rsidR="003F5D6F">
        <w:rPr>
          <w:sz w:val="22"/>
          <w:szCs w:val="22"/>
        </w:rPr>
        <w:t>Na podkladě této skutečnosti</w:t>
      </w:r>
      <w:r w:rsidR="007F03C0" w:rsidRPr="001673F3">
        <w:rPr>
          <w:sz w:val="22"/>
          <w:szCs w:val="22"/>
        </w:rPr>
        <w:t xml:space="preserve"> pověřují </w:t>
      </w:r>
      <w:r w:rsidR="003F5D6F">
        <w:rPr>
          <w:sz w:val="22"/>
          <w:szCs w:val="22"/>
        </w:rPr>
        <w:t xml:space="preserve">hlavní akcionáři </w:t>
      </w:r>
      <w:r w:rsidR="007F03C0" w:rsidRPr="001673F3">
        <w:rPr>
          <w:sz w:val="22"/>
          <w:szCs w:val="22"/>
        </w:rPr>
        <w:t xml:space="preserve">MSIC výkonem </w:t>
      </w:r>
      <w:r w:rsidR="003F5D6F">
        <w:rPr>
          <w:sz w:val="22"/>
          <w:szCs w:val="22"/>
        </w:rPr>
        <w:t>činností</w:t>
      </w:r>
      <w:r w:rsidR="007F03C0" w:rsidRPr="001673F3">
        <w:rPr>
          <w:sz w:val="22"/>
          <w:szCs w:val="22"/>
        </w:rPr>
        <w:t xml:space="preserve">, které </w:t>
      </w:r>
      <w:r w:rsidR="003F5D6F">
        <w:rPr>
          <w:sz w:val="22"/>
          <w:szCs w:val="22"/>
        </w:rPr>
        <w:t>jsou</w:t>
      </w:r>
      <w:r w:rsidR="007F03C0" w:rsidRPr="001673F3">
        <w:rPr>
          <w:sz w:val="22"/>
          <w:szCs w:val="22"/>
        </w:rPr>
        <w:t xml:space="preserve"> vykonávány v režimu závazku veřejné služby. </w:t>
      </w:r>
      <w:r w:rsidR="00A97F8A">
        <w:rPr>
          <w:sz w:val="22"/>
          <w:szCs w:val="22"/>
        </w:rPr>
        <w:br/>
      </w:r>
      <w:r w:rsidR="007F03C0" w:rsidRPr="001673F3">
        <w:rPr>
          <w:sz w:val="22"/>
          <w:szCs w:val="22"/>
        </w:rPr>
        <w:t xml:space="preserve">Za výkon těchto služeb </w:t>
      </w:r>
      <w:r w:rsidR="000D5CB3" w:rsidRPr="001673F3">
        <w:rPr>
          <w:sz w:val="22"/>
          <w:szCs w:val="22"/>
        </w:rPr>
        <w:t>je MSIC poskytována vyrovnávací platba na základě Smlouvy o poskytnutí vyrovnávací platby za poskytování služeb v obecném hospodářském zájmu</w:t>
      </w:r>
      <w:r w:rsidR="003F5D6F">
        <w:rPr>
          <w:sz w:val="22"/>
          <w:szCs w:val="22"/>
        </w:rPr>
        <w:t xml:space="preserve"> ze dne </w:t>
      </w:r>
      <w:r w:rsidR="000242C2">
        <w:rPr>
          <w:sz w:val="22"/>
          <w:szCs w:val="22"/>
        </w:rPr>
        <w:t xml:space="preserve">23. 4. 2018 </w:t>
      </w:r>
      <w:r w:rsidR="006F524C">
        <w:rPr>
          <w:sz w:val="22"/>
          <w:szCs w:val="22"/>
        </w:rPr>
        <w:br/>
      </w:r>
      <w:r w:rsidR="000242C2">
        <w:rPr>
          <w:sz w:val="22"/>
          <w:szCs w:val="22"/>
        </w:rPr>
        <w:t xml:space="preserve">ve znění Dodatku č. 1 ze dne 10. 7. 2019. </w:t>
      </w:r>
    </w:p>
    <w:p w:rsidR="009D53C5" w:rsidRPr="001673F3" w:rsidRDefault="009D53C5" w:rsidP="009D53C5">
      <w:pPr>
        <w:pStyle w:val="MSKNormal"/>
        <w:rPr>
          <w:sz w:val="22"/>
          <w:szCs w:val="22"/>
        </w:rPr>
      </w:pPr>
    </w:p>
    <w:p w:rsidR="009D53C5" w:rsidRDefault="000242C2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 xml:space="preserve">Dodatkem č. 1 byla celková částka vyrovnávací platby ze strany MSK navýšena o 4 186 000 Kč a její výše tak aktuálně činí 43 686 000 Kč. Na straně SMO zůstala vyrovnávací platba dle původní Smlouvy ve výši 39 500 000 Kč. </w:t>
      </w:r>
    </w:p>
    <w:p w:rsidR="00537B53" w:rsidRDefault="00537B53" w:rsidP="009D53C5">
      <w:pPr>
        <w:pStyle w:val="MSKNormal"/>
        <w:rPr>
          <w:sz w:val="22"/>
          <w:szCs w:val="22"/>
        </w:rPr>
      </w:pPr>
    </w:p>
    <w:p w:rsidR="00537B53" w:rsidRDefault="00537B53" w:rsidP="009D53C5">
      <w:pPr>
        <w:pStyle w:val="MSKNormal"/>
        <w:rPr>
          <w:sz w:val="22"/>
          <w:szCs w:val="22"/>
        </w:rPr>
      </w:pPr>
      <w:r>
        <w:rPr>
          <w:sz w:val="22"/>
          <w:szCs w:val="22"/>
        </w:rPr>
        <w:t>Dodatkem č.2</w:t>
      </w:r>
      <w:r w:rsidR="00D16451" w:rsidRPr="00D16451">
        <w:rPr>
          <w:sz w:val="22"/>
          <w:szCs w:val="22"/>
        </w:rPr>
        <w:t xml:space="preserve"> </w:t>
      </w:r>
      <w:r w:rsidR="00D16451">
        <w:rPr>
          <w:sz w:val="22"/>
          <w:szCs w:val="22"/>
        </w:rPr>
        <w:t xml:space="preserve">došlo k </w:t>
      </w:r>
      <w:r w:rsidR="003E7C48">
        <w:rPr>
          <w:sz w:val="22"/>
          <w:szCs w:val="22"/>
        </w:rPr>
        <w:t xml:space="preserve">aktualizaci </w:t>
      </w:r>
      <w:r w:rsidR="00D16451">
        <w:rPr>
          <w:sz w:val="22"/>
          <w:szCs w:val="22"/>
        </w:rPr>
        <w:t>Popisu činností (služeb) příjemce v závazku veřejné služby pro rok 2020</w:t>
      </w:r>
      <w:r>
        <w:rPr>
          <w:sz w:val="22"/>
          <w:szCs w:val="22"/>
        </w:rPr>
        <w:t xml:space="preserve"> </w:t>
      </w:r>
      <w:r w:rsidR="00D16451">
        <w:rPr>
          <w:sz w:val="22"/>
          <w:szCs w:val="22"/>
        </w:rPr>
        <w:t xml:space="preserve">a zároveň došlo za stranu města k navýšení celkové částky vyrovnávací platby o 1 500 000 Kč </w:t>
      </w:r>
      <w:r w:rsidR="00D16451">
        <w:rPr>
          <w:sz w:val="22"/>
          <w:szCs w:val="22"/>
        </w:rPr>
        <w:br/>
        <w:t xml:space="preserve">na 41 000 000 Kč a navýšení celková částky vyrovnávací platby za MSK o částku 1 500 000 Kč </w:t>
      </w:r>
      <w:r w:rsidR="00D16451">
        <w:rPr>
          <w:sz w:val="22"/>
          <w:szCs w:val="22"/>
        </w:rPr>
        <w:br/>
        <w:t>na 45 186 000 Kč.</w:t>
      </w:r>
    </w:p>
    <w:p w:rsidR="000242C2" w:rsidRPr="001673F3" w:rsidRDefault="000242C2" w:rsidP="009D53C5">
      <w:pPr>
        <w:pStyle w:val="MSKNormal"/>
        <w:rPr>
          <w:sz w:val="22"/>
          <w:szCs w:val="22"/>
        </w:rPr>
      </w:pPr>
    </w:p>
    <w:p w:rsidR="00960868" w:rsidRPr="0085253D" w:rsidRDefault="000242C2" w:rsidP="009D53C5">
      <w:pPr>
        <w:pStyle w:val="MSKNormal"/>
        <w:rPr>
          <w:b/>
          <w:bCs/>
          <w:sz w:val="28"/>
          <w:szCs w:val="28"/>
          <w:u w:val="single"/>
        </w:rPr>
      </w:pPr>
      <w:r w:rsidRPr="0085253D">
        <w:rPr>
          <w:b/>
          <w:bCs/>
          <w:sz w:val="28"/>
          <w:szCs w:val="28"/>
          <w:u w:val="single"/>
        </w:rPr>
        <w:t xml:space="preserve">Předmět </w:t>
      </w:r>
      <w:r w:rsidR="00D45BA9" w:rsidRPr="0085253D">
        <w:rPr>
          <w:b/>
          <w:bCs/>
          <w:sz w:val="28"/>
          <w:szCs w:val="28"/>
          <w:u w:val="single"/>
        </w:rPr>
        <w:t>navrhovaných úprav</w:t>
      </w:r>
      <w:r w:rsidR="00960868" w:rsidRPr="0085253D">
        <w:rPr>
          <w:b/>
          <w:bCs/>
          <w:sz w:val="28"/>
          <w:szCs w:val="28"/>
          <w:u w:val="single"/>
        </w:rPr>
        <w:t xml:space="preserve"> smlouvy</w:t>
      </w:r>
    </w:p>
    <w:p w:rsidR="009D53C5" w:rsidRPr="00960868" w:rsidRDefault="00960868" w:rsidP="009D53C5">
      <w:pPr>
        <w:pStyle w:val="MSKNormal"/>
        <w:rPr>
          <w:b/>
          <w:bCs/>
          <w:sz w:val="22"/>
          <w:szCs w:val="22"/>
          <w:u w:val="single"/>
        </w:rPr>
      </w:pPr>
      <w:r w:rsidRPr="00960868">
        <w:rPr>
          <w:b/>
          <w:bCs/>
          <w:sz w:val="22"/>
          <w:szCs w:val="22"/>
          <w:u w:val="single"/>
        </w:rPr>
        <w:t>o poskytnutí vyrovnávací platby za poskytování služeb v obecném hospodářském zájmu</w:t>
      </w:r>
    </w:p>
    <w:p w:rsidR="00537B53" w:rsidRDefault="00537B53" w:rsidP="009D53C5">
      <w:pPr>
        <w:pStyle w:val="MSKNormal"/>
        <w:rPr>
          <w:b/>
          <w:bCs/>
          <w:sz w:val="22"/>
          <w:szCs w:val="22"/>
        </w:rPr>
      </w:pPr>
    </w:p>
    <w:p w:rsidR="00926638" w:rsidRPr="001673F3" w:rsidRDefault="009D53C5" w:rsidP="00960868">
      <w:pPr>
        <w:pStyle w:val="MSKNormal"/>
        <w:rPr>
          <w:sz w:val="22"/>
          <w:szCs w:val="22"/>
        </w:rPr>
      </w:pPr>
      <w:r w:rsidRPr="001673F3">
        <w:rPr>
          <w:sz w:val="22"/>
          <w:szCs w:val="22"/>
        </w:rPr>
        <w:t xml:space="preserve">Přílohou materiálu je návrh dodatku č. </w:t>
      </w:r>
      <w:r w:rsidR="00960868">
        <w:rPr>
          <w:sz w:val="22"/>
          <w:szCs w:val="22"/>
        </w:rPr>
        <w:t>3</w:t>
      </w:r>
      <w:r w:rsidRPr="001673F3">
        <w:rPr>
          <w:sz w:val="22"/>
          <w:szCs w:val="22"/>
        </w:rPr>
        <w:t xml:space="preserve"> ke Smlouvě o poskytnutí vyrovnávací platby za poskytování služeb v obecném hospodářském zájmu (příloha č. </w:t>
      </w:r>
      <w:r w:rsidR="002E18DD">
        <w:rPr>
          <w:sz w:val="22"/>
          <w:szCs w:val="22"/>
        </w:rPr>
        <w:t xml:space="preserve">2 </w:t>
      </w:r>
      <w:r w:rsidR="00C44EAE">
        <w:rPr>
          <w:sz w:val="22"/>
          <w:szCs w:val="22"/>
        </w:rPr>
        <w:t>předkládaného materiálu</w:t>
      </w:r>
      <w:r w:rsidRPr="001673F3">
        <w:rPr>
          <w:sz w:val="22"/>
          <w:szCs w:val="22"/>
        </w:rPr>
        <w:t>)</w:t>
      </w:r>
      <w:r w:rsidR="00A56E58" w:rsidRPr="001673F3">
        <w:rPr>
          <w:sz w:val="22"/>
          <w:szCs w:val="22"/>
        </w:rPr>
        <w:t xml:space="preserve">. </w:t>
      </w:r>
      <w:r w:rsidR="00AE23DD">
        <w:rPr>
          <w:sz w:val="22"/>
          <w:szCs w:val="22"/>
        </w:rPr>
        <w:t xml:space="preserve">Předmětem dodatku </w:t>
      </w:r>
      <w:r w:rsidR="00960868">
        <w:rPr>
          <w:sz w:val="22"/>
          <w:szCs w:val="22"/>
        </w:rPr>
        <w:t>je a</w:t>
      </w:r>
      <w:r w:rsidR="00AE23DD">
        <w:rPr>
          <w:sz w:val="22"/>
          <w:szCs w:val="22"/>
        </w:rPr>
        <w:t>ktualizace</w:t>
      </w:r>
      <w:r w:rsidR="00960868">
        <w:rPr>
          <w:sz w:val="22"/>
          <w:szCs w:val="22"/>
        </w:rPr>
        <w:t xml:space="preserve"> přílohy</w:t>
      </w:r>
      <w:r w:rsidR="00AE23DD">
        <w:rPr>
          <w:sz w:val="22"/>
          <w:szCs w:val="22"/>
        </w:rPr>
        <w:t xml:space="preserve"> </w:t>
      </w:r>
      <w:r w:rsidR="00960868">
        <w:rPr>
          <w:sz w:val="22"/>
          <w:szCs w:val="22"/>
        </w:rPr>
        <w:t>„</w:t>
      </w:r>
      <w:r w:rsidR="002E18DD">
        <w:rPr>
          <w:sz w:val="22"/>
          <w:szCs w:val="22"/>
        </w:rPr>
        <w:t>Podrobný p</w:t>
      </w:r>
      <w:r w:rsidR="00AE23DD">
        <w:rPr>
          <w:sz w:val="22"/>
          <w:szCs w:val="22"/>
        </w:rPr>
        <w:t>opis činností (služeb) příjemce v závazku veřejné služby pro rok 202</w:t>
      </w:r>
      <w:r w:rsidR="00960868">
        <w:rPr>
          <w:sz w:val="22"/>
          <w:szCs w:val="22"/>
        </w:rPr>
        <w:t>1“</w:t>
      </w:r>
      <w:r w:rsidR="002E18DD" w:rsidRPr="002E18DD">
        <w:rPr>
          <w:sz w:val="22"/>
          <w:szCs w:val="22"/>
        </w:rPr>
        <w:t xml:space="preserve"> </w:t>
      </w:r>
      <w:r w:rsidR="002E18DD">
        <w:rPr>
          <w:sz w:val="22"/>
          <w:szCs w:val="22"/>
        </w:rPr>
        <w:t>(</w:t>
      </w:r>
      <w:r w:rsidR="002E18DD" w:rsidRPr="001673F3">
        <w:rPr>
          <w:sz w:val="22"/>
          <w:szCs w:val="22"/>
        </w:rPr>
        <w:t xml:space="preserve">příloha č. </w:t>
      </w:r>
      <w:r w:rsidR="002E18DD">
        <w:rPr>
          <w:sz w:val="22"/>
          <w:szCs w:val="22"/>
        </w:rPr>
        <w:t>3 předkládaného materiálu</w:t>
      </w:r>
      <w:r w:rsidR="002E18DD" w:rsidRPr="001673F3">
        <w:rPr>
          <w:sz w:val="22"/>
          <w:szCs w:val="22"/>
        </w:rPr>
        <w:t>)</w:t>
      </w:r>
      <w:r w:rsidR="00AE23DD">
        <w:rPr>
          <w:sz w:val="22"/>
          <w:szCs w:val="22"/>
        </w:rPr>
        <w:t xml:space="preserve"> spočívající ve specifikaci </w:t>
      </w:r>
      <w:r w:rsidR="00960868">
        <w:rPr>
          <w:sz w:val="22"/>
          <w:szCs w:val="22"/>
        </w:rPr>
        <w:t xml:space="preserve">a rozšíření </w:t>
      </w:r>
      <w:r w:rsidR="00AE23DD">
        <w:rPr>
          <w:sz w:val="22"/>
          <w:szCs w:val="22"/>
        </w:rPr>
        <w:t>činností</w:t>
      </w:r>
      <w:r w:rsidR="00960868">
        <w:rPr>
          <w:sz w:val="22"/>
          <w:szCs w:val="22"/>
        </w:rPr>
        <w:t xml:space="preserve"> především o novou aktivitu </w:t>
      </w:r>
      <w:r w:rsidR="00960868" w:rsidRPr="00960868">
        <w:rPr>
          <w:rFonts w:eastAsia="Times New Roman"/>
          <w:b/>
          <w:bCs/>
          <w:sz w:val="22"/>
          <w:szCs w:val="22"/>
          <w:u w:val="single"/>
        </w:rPr>
        <w:t>„Ostrava Expat centrum“</w:t>
      </w:r>
      <w:r w:rsidR="00AE23DD" w:rsidRPr="00960868">
        <w:rPr>
          <w:sz w:val="22"/>
          <w:szCs w:val="22"/>
        </w:rPr>
        <w:t>,</w:t>
      </w:r>
      <w:r w:rsidR="00AE23DD">
        <w:rPr>
          <w:sz w:val="22"/>
          <w:szCs w:val="22"/>
        </w:rPr>
        <w:t xml:space="preserve"> na které se MSIC zaměří v roce 202</w:t>
      </w:r>
      <w:r w:rsidR="00960868">
        <w:rPr>
          <w:sz w:val="22"/>
          <w:szCs w:val="22"/>
        </w:rPr>
        <w:t>1</w:t>
      </w:r>
      <w:r w:rsidR="00AE23DD">
        <w:rPr>
          <w:sz w:val="22"/>
          <w:szCs w:val="22"/>
        </w:rPr>
        <w:t xml:space="preserve"> včetně stanovení indikátorů a ukazatelů pro účely hodnocení platných pro období r. 202</w:t>
      </w:r>
      <w:r w:rsidR="00960868">
        <w:rPr>
          <w:sz w:val="22"/>
          <w:szCs w:val="22"/>
        </w:rPr>
        <w:t xml:space="preserve">1. </w:t>
      </w:r>
    </w:p>
    <w:p w:rsidR="00960868" w:rsidRDefault="00960868" w:rsidP="00214094">
      <w:pPr>
        <w:pStyle w:val="MSKNormal"/>
        <w:rPr>
          <w:sz w:val="22"/>
          <w:szCs w:val="22"/>
        </w:rPr>
      </w:pPr>
    </w:p>
    <w:p w:rsidR="0085253D" w:rsidRPr="0085253D" w:rsidRDefault="0085253D" w:rsidP="0085253D">
      <w:pPr>
        <w:spacing w:after="0" w:line="240" w:lineRule="auto"/>
        <w:rPr>
          <w:rFonts w:eastAsia="Times New Roman"/>
          <w:b/>
          <w:bCs/>
          <w:sz w:val="28"/>
          <w:szCs w:val="28"/>
          <w:u w:val="single"/>
        </w:rPr>
      </w:pPr>
      <w:r w:rsidRPr="0085253D">
        <w:rPr>
          <w:rFonts w:eastAsia="Times New Roman"/>
          <w:b/>
          <w:bCs/>
          <w:sz w:val="28"/>
          <w:szCs w:val="28"/>
          <w:u w:val="single"/>
        </w:rPr>
        <w:t>Zařazení projektu „Ostrava Expat centrum“ do aktivit vykonávaných ve prospěch města i kraje</w:t>
      </w:r>
    </w:p>
    <w:p w:rsidR="0085253D" w:rsidRPr="0085253D" w:rsidRDefault="0085253D" w:rsidP="0085253D">
      <w:pPr>
        <w:spacing w:after="0" w:line="240" w:lineRule="auto"/>
        <w:rPr>
          <w:rFonts w:eastAsia="Times New Roman"/>
          <w:b/>
          <w:bCs/>
          <w:u w:val="single"/>
        </w:rPr>
      </w:pPr>
    </w:p>
    <w:p w:rsidR="0085253D" w:rsidRDefault="0085253D" w:rsidP="0085253D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u w:val="single"/>
        </w:rPr>
      </w:pPr>
      <w:r>
        <w:rPr>
          <w:rFonts w:eastAsia="Times New Roman"/>
          <w:u w:val="single"/>
        </w:rPr>
        <w:t>Pilotní fáze projektu</w:t>
      </w:r>
    </w:p>
    <w:p w:rsidR="0085253D" w:rsidRDefault="0085253D" w:rsidP="0085253D">
      <w:pPr>
        <w:jc w:val="both"/>
      </w:pPr>
      <w:r>
        <w:t>Ostrava Expat Centrum by se mělo stát hlavním místem, kam se lidé ze zahraniční v Ostravě a Moravskoslezském kraji obracejí pro radu a pomoc, má být klíčovým partnerem kraje, města a místních i zahraničních firem v oblasti komunikace se zahraničními podnikateli, vědci, akademickými pracovníky, zaměstnanci, hledání jejich pracovního a volnočasového uplatnění a vyžití. Jedná se o veřejnou službu, jejíž cílem je soft-</w:t>
      </w:r>
      <w:proofErr w:type="spellStart"/>
      <w:r>
        <w:t>landing</w:t>
      </w:r>
      <w:proofErr w:type="spellEnd"/>
      <w:r>
        <w:t xml:space="preserve"> a udržení </w:t>
      </w:r>
      <w:proofErr w:type="spellStart"/>
      <w:r>
        <w:t>expatů</w:t>
      </w:r>
      <w:proofErr w:type="spellEnd"/>
      <w:r>
        <w:t xml:space="preserve"> v regionu.</w:t>
      </w:r>
    </w:p>
    <w:p w:rsidR="005D12B2" w:rsidRDefault="005D12B2" w:rsidP="0085253D">
      <w:pPr>
        <w:jc w:val="both"/>
      </w:pPr>
      <w:r>
        <w:lastRenderedPageBreak/>
        <w:t xml:space="preserve">Aktivity Expat Centra </w:t>
      </w:r>
      <w:r w:rsidR="00A65D4A">
        <w:t xml:space="preserve">Ostrava </w:t>
      </w:r>
      <w:r w:rsidRPr="005D12B2">
        <w:t>navazuj</w:t>
      </w:r>
      <w:r>
        <w:t>í</w:t>
      </w:r>
      <w:r w:rsidRPr="005D12B2">
        <w:t xml:space="preserve"> na hlavní cíle a vize strategických plánů </w:t>
      </w:r>
      <w:r>
        <w:t xml:space="preserve">rozvoje města/kraje (vytvořené společně s občany a odborníky pod značkami </w:t>
      </w:r>
      <w:hyperlink r:id="rId5" w:history="1">
        <w:proofErr w:type="spellStart"/>
        <w:r w:rsidRPr="00A65D4A">
          <w:rPr>
            <w:rStyle w:val="Hypertextovodkaz"/>
          </w:rPr>
          <w:t>fajnOVA</w:t>
        </w:r>
        <w:proofErr w:type="spellEnd"/>
      </w:hyperlink>
      <w:r w:rsidRPr="005D12B2">
        <w:t xml:space="preserve"> a </w:t>
      </w:r>
      <w:hyperlink r:id="rId6" w:history="1">
        <w:proofErr w:type="spellStart"/>
        <w:r w:rsidRPr="00A65D4A">
          <w:rPr>
            <w:rStyle w:val="Hypertextovodkaz"/>
          </w:rPr>
          <w:t>hrajeMSKrajem</w:t>
        </w:r>
        <w:proofErr w:type="spellEnd"/>
      </w:hyperlink>
      <w:r>
        <w:t>)</w:t>
      </w:r>
      <w:r w:rsidRPr="005D12B2">
        <w:t xml:space="preserve"> - zpomalit a zastavit trend odliv</w:t>
      </w:r>
      <w:r>
        <w:t>u</w:t>
      </w:r>
      <w:r w:rsidRPr="005D12B2">
        <w:t xml:space="preserve"> </w:t>
      </w:r>
      <w:r>
        <w:t>obyvatel</w:t>
      </w:r>
      <w:r w:rsidRPr="005D12B2">
        <w:t xml:space="preserve"> z Ostravy a </w:t>
      </w:r>
      <w:r>
        <w:t>Moravskoslezského kraje, mj. i</w:t>
      </w:r>
      <w:r w:rsidRPr="005D12B2">
        <w:t xml:space="preserve"> udržením nebo přilákáním zahraničních expertů, resp. expatů. </w:t>
      </w:r>
      <w:r w:rsidR="00A65D4A">
        <w:t>Expat Centrum Ostrava je zároveň i konkrétním strategickým projektem k realizaci v obou strategických plánech.</w:t>
      </w:r>
    </w:p>
    <w:p w:rsidR="0085253D" w:rsidRDefault="0085253D" w:rsidP="0085253D">
      <w:pPr>
        <w:jc w:val="both"/>
      </w:pPr>
      <w:r>
        <w:t>Záměr na pilotní ověření služby „Ostrava Expat Centre“ byl projednán a schválen na Radě pro inovace MSK v první polovině roku 2019. Tato pilotní služba byla inspirována výstupy mezinárodního projektu „IN FOCUS“ financovaného z</w:t>
      </w:r>
      <w:r w:rsidR="00EC5726">
        <w:t xml:space="preserve"> Operačního programu </w:t>
      </w:r>
      <w:r>
        <w:t>URBACT, do kterého bylo zapojeno statutární město Ostrava.</w:t>
      </w:r>
    </w:p>
    <w:p w:rsidR="0085253D" w:rsidRDefault="0085253D" w:rsidP="0085253D">
      <w:pPr>
        <w:jc w:val="both"/>
      </w:pPr>
      <w:r>
        <w:t xml:space="preserve">Návrh fungování „Ostrava Expat Centre“ (OEC) byl připraven pracovní skupinou Talent </w:t>
      </w:r>
      <w:proofErr w:type="spellStart"/>
      <w:r>
        <w:t>Attraction</w:t>
      </w:r>
      <w:proofErr w:type="spellEnd"/>
      <w:r>
        <w:t xml:space="preserve"> Management (součást implementační struktury RIS MSK), kterou vede MSIC Ostrava, a.s. Na základě zpracovaného návrhu fungování OEC byla uzavřená smlouva </w:t>
      </w:r>
      <w:r>
        <w:rPr>
          <w:color w:val="000000"/>
        </w:rPr>
        <w:t xml:space="preserve">0389/2020/OSR/VZKÚ mezi SMO a MSIC. </w:t>
      </w:r>
      <w:r>
        <w:t>Účelem uzavření této smlouvy bylo zřízení a provozování služby Ostrava Expat Centre. Předmětem smlouvy bylo zřízení a pilotní provoz Ostrava Expat Centre, jako samostatného kontaktního místa provozovaného MSIC Ostrava, a.s. (bez právní subjektivity), které bude poskytovat služby pro cizince pracující v regionu. Tato etapa zřízení a provozu Ostrava Expat Centre probíhala v období od 1.2.2020 do 31.1.2021.</w:t>
      </w:r>
    </w:p>
    <w:p w:rsidR="0085253D" w:rsidRPr="0085253D" w:rsidRDefault="0085253D" w:rsidP="0085253D">
      <w:r>
        <w:t xml:space="preserve">Ve smlouvě byly definovány následující </w:t>
      </w:r>
      <w:proofErr w:type="spellStart"/>
      <w:r>
        <w:t>KPIs</w:t>
      </w:r>
      <w:proofErr w:type="spellEnd"/>
      <w:r>
        <w:t xml:space="preserve"> (k nim je doplnění i stav plnění ke dni ukončení smlouvy):</w:t>
      </w:r>
      <w:r>
        <w:rPr>
          <w:highlight w:val="green"/>
        </w:rPr>
        <w:fldChar w:fldCharType="begin"/>
      </w:r>
      <w:r>
        <w:rPr>
          <w:highlight w:val="green"/>
        </w:rPr>
        <w:instrText xml:space="preserve"> LINK Excel.Sheet.12 "C:\\Users\\Alena Danielová\\Downloads\\Výsledky (4).xlsx" "List1!R3C1:R29C4" \a \f 5 \h  \* MERGEFORMAT </w:instrText>
      </w:r>
      <w:r>
        <w:rPr>
          <w:highlight w:val="green"/>
        </w:rPr>
        <w:fldChar w:fldCharType="separate"/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b/>
                <w:bCs/>
              </w:rPr>
            </w:pPr>
            <w:r>
              <w:rPr>
                <w:b/>
                <w:bCs/>
              </w:rPr>
              <w:t>Požadavek (smlouva)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b/>
                <w:bCs/>
              </w:rPr>
            </w:pPr>
            <w:r>
              <w:rPr>
                <w:b/>
                <w:bCs/>
              </w:rPr>
              <w:t>Stav plnění k 31.1.2021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 xml:space="preserve">Počet </w:t>
            </w:r>
            <w:proofErr w:type="spellStart"/>
            <w:r>
              <w:t>expatů</w:t>
            </w:r>
            <w:proofErr w:type="spellEnd"/>
            <w:r>
              <w:t xml:space="preserve"> využívající centrum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231</w:t>
            </w:r>
          </w:p>
        </w:tc>
      </w:tr>
      <w:tr w:rsidR="0085253D" w:rsidTr="0085253D">
        <w:trPr>
          <w:trHeight w:val="1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roofErr w:type="spellStart"/>
            <w:r>
              <w:t>Logomanuál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roofErr w:type="spellStart"/>
            <w:r>
              <w:t>Designmanuál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 xml:space="preserve">Ověření </w:t>
            </w:r>
            <w:proofErr w:type="spellStart"/>
            <w:r>
              <w:t>brandu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1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Newsletter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10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Web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Facebook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Instagram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 xml:space="preserve">Počet </w:t>
            </w:r>
            <w:proofErr w:type="spellStart"/>
            <w:r>
              <w:t>followerů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780</w:t>
            </w:r>
          </w:p>
        </w:tc>
      </w:tr>
      <w:tr w:rsidR="0085253D" w:rsidTr="0085253D">
        <w:trPr>
          <w:trHeight w:val="1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roofErr w:type="spellStart"/>
            <w:r>
              <w:t>One</w:t>
            </w:r>
            <w:proofErr w:type="spellEnd"/>
            <w:r>
              <w:t>-Stop-Shop (služby pro cizince)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20 h/t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5D12B2">
            <w:r>
              <w:t>20 h/t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Manuál pro O-S-S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1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Počet Eventů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10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Počet účastníků Eventů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512</w:t>
            </w:r>
          </w:p>
        </w:tc>
      </w:tr>
      <w:tr w:rsidR="0085253D" w:rsidTr="0085253D">
        <w:trPr>
          <w:trHeight w:val="1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Počet partnerů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50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Partnerské eventy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4</w:t>
            </w:r>
          </w:p>
        </w:tc>
      </w:tr>
      <w:tr w:rsidR="0085253D" w:rsidTr="0085253D">
        <w:trPr>
          <w:trHeight w:val="1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pPr>
              <w:rPr>
                <w:sz w:val="20"/>
                <w:szCs w:val="20"/>
              </w:rPr>
            </w:pP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 xml:space="preserve">Ověřit </w:t>
            </w:r>
            <w:proofErr w:type="spellStart"/>
            <w:r>
              <w:t>Adapt.Event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 xml:space="preserve">Ověřit </w:t>
            </w:r>
            <w:proofErr w:type="spellStart"/>
            <w:r>
              <w:t>JobFair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 xml:space="preserve">Ověřit </w:t>
            </w:r>
            <w:proofErr w:type="spellStart"/>
            <w:r>
              <w:t>Buddies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 xml:space="preserve">Databáze </w:t>
            </w:r>
            <w:proofErr w:type="spellStart"/>
            <w:r>
              <w:t>Expat</w:t>
            </w:r>
            <w:proofErr w:type="spellEnd"/>
            <w:r>
              <w:t xml:space="preserve"> </w:t>
            </w:r>
            <w:proofErr w:type="spellStart"/>
            <w:r>
              <w:t>Friendly</w:t>
            </w:r>
            <w:proofErr w:type="spellEnd"/>
            <w:r>
              <w:t xml:space="preserve"> firem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  <w:tr w:rsidR="0085253D" w:rsidTr="0085253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Adresář partnerů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253D" w:rsidRDefault="0085253D">
            <w:r>
              <w:t>1</w:t>
            </w:r>
          </w:p>
        </w:tc>
      </w:tr>
    </w:tbl>
    <w:p w:rsidR="0085253D" w:rsidRPr="0085253D" w:rsidRDefault="0085253D" w:rsidP="0085253D">
      <w:pPr>
        <w:rPr>
          <w:rFonts w:ascii="Calibri" w:hAnsi="Calibri" w:cs="Calibri"/>
          <w:u w:val="single"/>
        </w:rPr>
      </w:pPr>
      <w:r>
        <w:rPr>
          <w:highlight w:val="green"/>
        </w:rPr>
        <w:fldChar w:fldCharType="end"/>
      </w:r>
    </w:p>
    <w:p w:rsidR="0085253D" w:rsidRDefault="00873ED1" w:rsidP="0085253D">
      <w:pPr>
        <w:rPr>
          <w:highlight w:val="green"/>
        </w:rPr>
      </w:pPr>
      <w:r>
        <w:t xml:space="preserve">V únoru 2020 byl zahájen pilotní provoz Ostrava </w:t>
      </w:r>
      <w:proofErr w:type="spellStart"/>
      <w:r>
        <w:t>Expat</w:t>
      </w:r>
      <w:proofErr w:type="spellEnd"/>
      <w:r>
        <w:t xml:space="preserve"> Centre, centra pro zaměstnance, podnikatele, studenty, vědce a akademické pracovníky ze zahraničí neboli </w:t>
      </w:r>
      <w:proofErr w:type="spellStart"/>
      <w:r>
        <w:t>expaty</w:t>
      </w:r>
      <w:proofErr w:type="spellEnd"/>
      <w:r>
        <w:t xml:space="preserve">. Ostrava se tak po vzoru velkých </w:t>
      </w:r>
      <w:r>
        <w:lastRenderedPageBreak/>
        <w:t xml:space="preserve">evropských měst přidala k poskytování kvalitního informačního zázemí pro odborníky ze zahraničí a jejich rodiny. Centrum nabízí služby pro ty, kteří již v Ostravě žijí, ale i ty, kteří se na život v městě teprve připravují. Snaží se zahraničním podnikatelům a pracovníkům ulehčit ve všech formalitách, které řeší v souvislosti se zabydlením a prací v Ostravě, zároveň jim nabízí prostor k setkávání a rozvoji. Bližší informace o Výstupech a přínosech projektu </w:t>
      </w:r>
      <w:r w:rsidRPr="00873ED1">
        <w:t>„</w:t>
      </w:r>
      <w:r w:rsidRPr="002E18DD">
        <w:t xml:space="preserve">Ostrava </w:t>
      </w:r>
      <w:proofErr w:type="spellStart"/>
      <w:r w:rsidRPr="002E18DD">
        <w:t>Expat</w:t>
      </w:r>
      <w:proofErr w:type="spellEnd"/>
      <w:r w:rsidRPr="002E18DD">
        <w:t xml:space="preserve"> Centrum“ viz samostatn</w:t>
      </w:r>
      <w:r w:rsidR="00C90316">
        <w:t xml:space="preserve">á </w:t>
      </w:r>
      <w:bookmarkStart w:id="0" w:name="_GoBack"/>
      <w:bookmarkEnd w:id="0"/>
      <w:r w:rsidRPr="002E18DD">
        <w:t xml:space="preserve">příloha č. </w:t>
      </w:r>
      <w:r w:rsidR="002E18DD">
        <w:t>1</w:t>
      </w:r>
      <w:r>
        <w:t xml:space="preserve"> tohoto materiálu.</w:t>
      </w:r>
    </w:p>
    <w:p w:rsidR="0085253D" w:rsidRDefault="0085253D" w:rsidP="0085253D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Calibri" w:hAnsi="Calibri" w:cs="Calibri"/>
          <w:u w:val="single"/>
        </w:rPr>
      </w:pPr>
      <w:r>
        <w:rPr>
          <w:u w:val="single"/>
        </w:rPr>
        <w:t>Vyhodnocení pilotní fáze projektu</w:t>
      </w:r>
    </w:p>
    <w:p w:rsidR="0085253D" w:rsidRPr="0004115B" w:rsidRDefault="0085253D" w:rsidP="0085253D">
      <w:pPr>
        <w:jc w:val="both"/>
      </w:pPr>
      <w:r w:rsidRPr="0004115B">
        <w:t xml:space="preserve">Na Radě pro inovace konané v prosinci 2020 byly představeny výsledky pilotní fáze OEC. Po diskusi členů </w:t>
      </w:r>
      <w:proofErr w:type="spellStart"/>
      <w:r w:rsidRPr="0004115B">
        <w:t>RpI</w:t>
      </w:r>
      <w:proofErr w:type="spellEnd"/>
      <w:r w:rsidRPr="0004115B">
        <w:t xml:space="preserve"> bylo </w:t>
      </w:r>
      <w:r w:rsidRPr="0004115B">
        <w:rPr>
          <w:b/>
          <w:bCs/>
        </w:rPr>
        <w:t>jednomyslně doporučeno pokračovat v implementaci tohoto projektu, a to v rámci třístranné „Smlouvy o službách v obecném hospodářském zájmu“ uzavřené mezi MSK, SMO a MSIC Ostrava.</w:t>
      </w:r>
      <w:r w:rsidRPr="0004115B">
        <w:t xml:space="preserve"> Projektovou manažerkou projektu OEC zůstává koordinátorka pracovní skupiny Talent </w:t>
      </w:r>
      <w:proofErr w:type="spellStart"/>
      <w:r w:rsidRPr="0004115B">
        <w:t>Attraction</w:t>
      </w:r>
      <w:proofErr w:type="spellEnd"/>
      <w:r w:rsidRPr="0004115B">
        <w:t xml:space="preserve"> Management. </w:t>
      </w:r>
    </w:p>
    <w:p w:rsidR="0085253D" w:rsidRDefault="0085253D" w:rsidP="0085253D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="Calibri" w:eastAsia="Times New Roman" w:hAnsi="Calibri" w:cs="Calibri"/>
          <w:u w:val="single"/>
        </w:rPr>
      </w:pPr>
      <w:r>
        <w:rPr>
          <w:rFonts w:eastAsia="Times New Roman"/>
          <w:u w:val="single"/>
        </w:rPr>
        <w:t>Finanční dopady</w:t>
      </w:r>
    </w:p>
    <w:p w:rsidR="0085253D" w:rsidRDefault="0085253D" w:rsidP="0085253D">
      <w:r>
        <w:t xml:space="preserve">Pro rok 2021 byl stanoven rozpočet pro výkon služeb Ostrava Expat Centre ve výši 1 900 t Kč vč. DPH. Tyto náklady budou hrazeny </w:t>
      </w:r>
      <w:r w:rsidRPr="0004115B">
        <w:rPr>
          <w:b/>
          <w:bCs/>
        </w:rPr>
        <w:t xml:space="preserve">ze stávajícího rozpočtu MSIC </w:t>
      </w:r>
      <w:proofErr w:type="gramStart"/>
      <w:r w:rsidRPr="0004115B">
        <w:rPr>
          <w:b/>
          <w:bCs/>
        </w:rPr>
        <w:t>Ostrava</w:t>
      </w:r>
      <w:proofErr w:type="gramEnd"/>
      <w:r>
        <w:t xml:space="preserve"> </w:t>
      </w:r>
      <w:r w:rsidRPr="0004115B">
        <w:rPr>
          <w:b/>
          <w:bCs/>
        </w:rPr>
        <w:t>tj. nedojde k navýšení vyrovnávací platby ani ze strany MSK a ani SMO</w:t>
      </w:r>
      <w:r>
        <w:t xml:space="preserve">. </w:t>
      </w:r>
    </w:p>
    <w:p w:rsidR="0085253D" w:rsidRDefault="0085253D" w:rsidP="0085253D">
      <w:r>
        <w:t>Výstupy a výsledky očekávané k 31.12.2021 (při 2 FTE úvazcích):</w:t>
      </w:r>
    </w:p>
    <w:p w:rsidR="0085253D" w:rsidRDefault="0085253D" w:rsidP="0085253D">
      <w:pPr>
        <w:rPr>
          <w:b/>
          <w:bCs/>
        </w:rPr>
      </w:pPr>
      <w:r>
        <w:rPr>
          <w:b/>
          <w:bCs/>
        </w:rPr>
        <w:t>Brand</w:t>
      </w:r>
    </w:p>
    <w:p w:rsidR="0085253D" w:rsidRDefault="0085253D" w:rsidP="0085253D">
      <w:pPr>
        <w:numPr>
          <w:ilvl w:val="0"/>
          <w:numId w:val="9"/>
        </w:numPr>
        <w:spacing w:after="0" w:line="240" w:lineRule="auto"/>
      </w:pPr>
      <w:r>
        <w:t>rozšíření služeb ve 2 dalších městech v MSK</w:t>
      </w:r>
    </w:p>
    <w:p w:rsidR="0085253D" w:rsidRDefault="0085253D" w:rsidP="0085253D">
      <w:pPr>
        <w:numPr>
          <w:ilvl w:val="0"/>
          <w:numId w:val="9"/>
        </w:numPr>
        <w:spacing w:after="0" w:line="240" w:lineRule="auto"/>
      </w:pPr>
      <w:r>
        <w:t xml:space="preserve">Ostrava-OEC </w:t>
      </w:r>
      <w:proofErr w:type="spellStart"/>
      <w:r>
        <w:t>Card</w:t>
      </w:r>
      <w:proofErr w:type="spellEnd"/>
      <w:r>
        <w:t xml:space="preserve"> – adaptační karta/</w:t>
      </w:r>
      <w:proofErr w:type="spellStart"/>
      <w:r>
        <w:t>app-ka</w:t>
      </w:r>
      <w:proofErr w:type="spellEnd"/>
      <w:r>
        <w:t>, ověření zájmu expatů a partnerů</w:t>
      </w:r>
    </w:p>
    <w:p w:rsidR="0085253D" w:rsidRDefault="0085253D" w:rsidP="0085253D">
      <w:pPr>
        <w:numPr>
          <w:ilvl w:val="0"/>
          <w:numId w:val="9"/>
        </w:numPr>
        <w:spacing w:after="0" w:line="240" w:lineRule="auto"/>
      </w:pPr>
      <w:r>
        <w:t>Start placených služeb poskytovaných v centru</w:t>
      </w:r>
    </w:p>
    <w:p w:rsidR="0085253D" w:rsidRDefault="0085253D" w:rsidP="0085253D">
      <w:pPr>
        <w:numPr>
          <w:ilvl w:val="0"/>
          <w:numId w:val="9"/>
        </w:numPr>
        <w:spacing w:after="0" w:line="240" w:lineRule="auto"/>
      </w:pPr>
      <w:r>
        <w:t>Návrh fungování od 1. 1. 2022 (koncept)</w:t>
      </w:r>
    </w:p>
    <w:p w:rsidR="0004115B" w:rsidRDefault="0004115B" w:rsidP="0085253D">
      <w:pPr>
        <w:rPr>
          <w:b/>
          <w:bCs/>
        </w:rPr>
      </w:pPr>
    </w:p>
    <w:p w:rsidR="0085253D" w:rsidRDefault="0085253D" w:rsidP="0085253D">
      <w:pPr>
        <w:rPr>
          <w:b/>
          <w:bCs/>
        </w:rPr>
      </w:pPr>
      <w:r>
        <w:rPr>
          <w:b/>
          <w:bCs/>
        </w:rPr>
        <w:t>Partnerství</w:t>
      </w:r>
    </w:p>
    <w:p w:rsidR="0085253D" w:rsidRDefault="0085253D" w:rsidP="0085253D">
      <w:pPr>
        <w:numPr>
          <w:ilvl w:val="0"/>
          <w:numId w:val="10"/>
        </w:numPr>
        <w:spacing w:after="0" w:line="240" w:lineRule="auto"/>
      </w:pPr>
      <w:r>
        <w:t xml:space="preserve">Organizace 1. mezinárodního setkání </w:t>
      </w:r>
      <w:proofErr w:type="spellStart"/>
      <w:r>
        <w:t>expat</w:t>
      </w:r>
      <w:proofErr w:type="spellEnd"/>
      <w:r>
        <w:t xml:space="preserve"> center </w:t>
      </w:r>
    </w:p>
    <w:p w:rsidR="0085253D" w:rsidRDefault="0085253D" w:rsidP="0085253D">
      <w:pPr>
        <w:numPr>
          <w:ilvl w:val="0"/>
          <w:numId w:val="10"/>
        </w:numPr>
        <w:spacing w:after="0" w:line="240" w:lineRule="auto"/>
      </w:pPr>
      <w:r>
        <w:t xml:space="preserve">Organizace druhého českého setkání </w:t>
      </w:r>
      <w:proofErr w:type="spellStart"/>
      <w:r>
        <w:t>expat</w:t>
      </w:r>
      <w:proofErr w:type="spellEnd"/>
      <w:r>
        <w:t xml:space="preserve"> center</w:t>
      </w:r>
    </w:p>
    <w:p w:rsidR="0085253D" w:rsidRDefault="0085253D" w:rsidP="0085253D">
      <w:pPr>
        <w:numPr>
          <w:ilvl w:val="0"/>
          <w:numId w:val="10"/>
        </w:numPr>
        <w:spacing w:after="0" w:line="240" w:lineRule="auto"/>
      </w:pPr>
      <w:r>
        <w:t xml:space="preserve">Budování komunit </w:t>
      </w:r>
      <w:proofErr w:type="spellStart"/>
      <w:r>
        <w:t>expatů</w:t>
      </w:r>
      <w:proofErr w:type="spellEnd"/>
      <w:r>
        <w:t xml:space="preserve">, </w:t>
      </w:r>
      <w:proofErr w:type="spellStart"/>
      <w:r>
        <w:t>Expat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(vč. doplňování v Google map)</w:t>
      </w:r>
    </w:p>
    <w:p w:rsidR="0085253D" w:rsidRDefault="0085253D" w:rsidP="0085253D">
      <w:pPr>
        <w:numPr>
          <w:ilvl w:val="0"/>
          <w:numId w:val="10"/>
        </w:numPr>
        <w:spacing w:after="0" w:line="240" w:lineRule="auto"/>
      </w:pPr>
      <w:r>
        <w:t>Budování partnerství v oblasti „</w:t>
      </w:r>
      <w:proofErr w:type="spellStart"/>
      <w:r>
        <w:t>Job&amp;Business</w:t>
      </w:r>
      <w:proofErr w:type="spellEnd"/>
      <w:r>
        <w:t>“ (min. 5 uzavřených spoluprací)</w:t>
      </w:r>
    </w:p>
    <w:p w:rsidR="0004115B" w:rsidRDefault="0085253D" w:rsidP="0085253D">
      <w:pPr>
        <w:numPr>
          <w:ilvl w:val="0"/>
          <w:numId w:val="10"/>
        </w:numPr>
        <w:spacing w:after="0" w:line="240" w:lineRule="auto"/>
      </w:pPr>
      <w:r>
        <w:t>Pokračování ve spolupráci se školskými zařízeními, iniciace partnerství v</w:t>
      </w:r>
      <w:r w:rsidR="005309CB">
        <w:t> </w:t>
      </w:r>
      <w:r>
        <w:t>kultuře</w:t>
      </w:r>
    </w:p>
    <w:p w:rsidR="005309CB" w:rsidRPr="005309CB" w:rsidRDefault="005309CB" w:rsidP="0085253D">
      <w:pPr>
        <w:numPr>
          <w:ilvl w:val="0"/>
          <w:numId w:val="10"/>
        </w:numPr>
        <w:spacing w:after="0" w:line="240" w:lineRule="auto"/>
      </w:pPr>
    </w:p>
    <w:p w:rsidR="0085253D" w:rsidRDefault="0085253D" w:rsidP="0085253D">
      <w:pPr>
        <w:rPr>
          <w:b/>
          <w:bCs/>
        </w:rPr>
      </w:pPr>
      <w:proofErr w:type="spellStart"/>
      <w:r>
        <w:rPr>
          <w:b/>
          <w:bCs/>
        </w:rPr>
        <w:t>Info</w:t>
      </w:r>
      <w:proofErr w:type="spellEnd"/>
      <w:r>
        <w:rPr>
          <w:b/>
          <w:bCs/>
        </w:rPr>
        <w:t>-servis</w:t>
      </w:r>
    </w:p>
    <w:p w:rsidR="0085253D" w:rsidRDefault="0085253D" w:rsidP="0085253D">
      <w:pPr>
        <w:numPr>
          <w:ilvl w:val="0"/>
          <w:numId w:val="11"/>
        </w:numPr>
        <w:spacing w:after="0" w:line="240" w:lineRule="auto"/>
      </w:pPr>
      <w:proofErr w:type="spellStart"/>
      <w:r>
        <w:t>One</w:t>
      </w:r>
      <w:proofErr w:type="spellEnd"/>
      <w:r>
        <w:t xml:space="preserve">-Stop-Shop a </w:t>
      </w:r>
      <w:proofErr w:type="spellStart"/>
      <w:r>
        <w:t>Buddies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v rozsahu v průměru 20 h/týdně</w:t>
      </w:r>
    </w:p>
    <w:p w:rsidR="0085253D" w:rsidRDefault="0085253D" w:rsidP="0085253D">
      <w:pPr>
        <w:numPr>
          <w:ilvl w:val="0"/>
          <w:numId w:val="11"/>
        </w:numPr>
        <w:spacing w:after="0" w:line="240" w:lineRule="auto"/>
      </w:pPr>
      <w:r>
        <w:t xml:space="preserve">11 Newsletter-ů  </w:t>
      </w:r>
    </w:p>
    <w:p w:rsidR="0085253D" w:rsidRDefault="0085253D" w:rsidP="0085253D">
      <w:pPr>
        <w:numPr>
          <w:ilvl w:val="0"/>
          <w:numId w:val="11"/>
        </w:numPr>
        <w:spacing w:after="0" w:line="240" w:lineRule="auto"/>
      </w:pPr>
      <w:r>
        <w:t xml:space="preserve">Udržování stávající sociálních sítí, zřízení </w:t>
      </w:r>
      <w:proofErr w:type="spellStart"/>
      <w:r>
        <w:t>LiN</w:t>
      </w:r>
      <w:proofErr w:type="spellEnd"/>
      <w:r>
        <w:t xml:space="preserve"> profilu pro oblast „</w:t>
      </w:r>
      <w:proofErr w:type="spellStart"/>
      <w:r>
        <w:t>Job&amp;Business</w:t>
      </w:r>
      <w:proofErr w:type="spellEnd"/>
      <w:r>
        <w:t xml:space="preserve">“ (+ 200 </w:t>
      </w:r>
      <w:proofErr w:type="spellStart"/>
      <w:r>
        <w:t>followers</w:t>
      </w:r>
      <w:proofErr w:type="spellEnd"/>
      <w:r>
        <w:t xml:space="preserve">) </w:t>
      </w:r>
    </w:p>
    <w:p w:rsidR="0004115B" w:rsidRDefault="0004115B" w:rsidP="0085253D">
      <w:pPr>
        <w:rPr>
          <w:b/>
          <w:bCs/>
        </w:rPr>
      </w:pPr>
    </w:p>
    <w:p w:rsidR="0085253D" w:rsidRDefault="0085253D" w:rsidP="0085253D">
      <w:pPr>
        <w:rPr>
          <w:b/>
          <w:bCs/>
        </w:rPr>
      </w:pPr>
      <w:r>
        <w:rPr>
          <w:b/>
          <w:bCs/>
        </w:rPr>
        <w:t>Akce, workshopy</w:t>
      </w:r>
    </w:p>
    <w:p w:rsidR="0085253D" w:rsidRDefault="0085253D" w:rsidP="0085253D">
      <w:pPr>
        <w:numPr>
          <w:ilvl w:val="0"/>
          <w:numId w:val="12"/>
        </w:numPr>
        <w:spacing w:after="0" w:line="240" w:lineRule="auto"/>
      </w:pPr>
      <w:r>
        <w:t xml:space="preserve">V průměru 3 eventy měsíčně (on-line i off-line), pokračování ve volnočasové nabídce eventů pro expaty, zaměření se na hard and soft </w:t>
      </w:r>
      <w:proofErr w:type="spellStart"/>
      <w:r>
        <w:t>skills</w:t>
      </w:r>
      <w:proofErr w:type="spellEnd"/>
      <w:r>
        <w:t>, vč. oblasti „</w:t>
      </w:r>
      <w:proofErr w:type="spellStart"/>
      <w:r>
        <w:t>Job&amp;Business</w:t>
      </w:r>
      <w:proofErr w:type="spellEnd"/>
      <w:r>
        <w:t xml:space="preserve">“, vyhodnocení úspěšnosti a návrh programu pro rok 2022 </w:t>
      </w:r>
    </w:p>
    <w:p w:rsidR="0085253D" w:rsidRDefault="0085253D" w:rsidP="0085253D">
      <w:pPr>
        <w:numPr>
          <w:ilvl w:val="0"/>
          <w:numId w:val="12"/>
        </w:numPr>
        <w:spacing w:after="0" w:line="240" w:lineRule="auto"/>
      </w:pPr>
      <w:r>
        <w:t xml:space="preserve">Min. 1 </w:t>
      </w:r>
      <w:proofErr w:type="spellStart"/>
      <w:r>
        <w:t>Community</w:t>
      </w:r>
      <w:proofErr w:type="spellEnd"/>
      <w:r>
        <w:t xml:space="preserve"> Event </w:t>
      </w:r>
    </w:p>
    <w:p w:rsidR="0085253D" w:rsidRDefault="0085253D" w:rsidP="0085253D">
      <w:pPr>
        <w:numPr>
          <w:ilvl w:val="0"/>
          <w:numId w:val="12"/>
        </w:numPr>
        <w:spacing w:after="0" w:line="240" w:lineRule="auto"/>
      </w:pPr>
      <w:r>
        <w:t>Min. 1 účast na velkých regionálních akcích (festivaly, veletrh, konference, Dny Nato, Olympijská vesnička)</w:t>
      </w:r>
    </w:p>
    <w:p w:rsidR="0085253D" w:rsidRDefault="0085253D" w:rsidP="0085253D">
      <w:pPr>
        <w:rPr>
          <w:highlight w:val="green"/>
        </w:rPr>
      </w:pPr>
    </w:p>
    <w:p w:rsidR="0085253D" w:rsidRDefault="0085253D" w:rsidP="0085253D">
      <w:pPr>
        <w:jc w:val="both"/>
      </w:pPr>
      <w:r>
        <w:t xml:space="preserve">V průběhu roku 2021 dojde k rozhodnutí, zda stávající model fungování (pod záštitou MSIC) bude platný i pro další roky, či dojde ke změně v závislosti na vyhledání nových možností financování služeb centra. </w:t>
      </w:r>
    </w:p>
    <w:p w:rsidR="0085253D" w:rsidRPr="005309CB" w:rsidRDefault="0085253D" w:rsidP="005309C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 w:rsidRPr="005309CB">
        <w:rPr>
          <w:rFonts w:eastAsia="Times New Roman"/>
          <w:b/>
          <w:bCs/>
          <w:sz w:val="28"/>
          <w:szCs w:val="28"/>
          <w:u w:val="single"/>
        </w:rPr>
        <w:t>Dílčí úpravy v dalších činnostech MSIC vykonávaných ve prospěch města i kraje</w:t>
      </w:r>
    </w:p>
    <w:p w:rsidR="0085253D" w:rsidRDefault="0085253D" w:rsidP="0085253D">
      <w:pPr>
        <w:rPr>
          <w:rFonts w:eastAsia="Times New Roman"/>
          <w:b/>
          <w:bCs/>
          <w:u w:val="single"/>
        </w:rPr>
      </w:pPr>
    </w:p>
    <w:p w:rsidR="0085253D" w:rsidRDefault="0085253D" w:rsidP="0085253D">
      <w:pPr>
        <w:jc w:val="both"/>
      </w:pPr>
      <w:r>
        <w:t xml:space="preserve">V rámci finálního popisu činností došlo zejména k dílčím úpravám, a to primárně k definování počtu výstupů a výsledků u jednotlivých aktivit jako např. počet poskytnutých služeb, počet realizovaných akcí a počtu nově implementovaných aktivit. Dále došlo také k bližší specifikaci např. platforem, do kterých jsou zaměstnanci MSIC zapojeni díky své expertíze a rostoucí prestiži MSIC Ostrava v rámci inovačního ekosystému České republiky. Zůstal zachovány již dříve schválené strategické deštníkové projekty a to: PODREG (Podnikavý region), TAM (Talent </w:t>
      </w:r>
      <w:proofErr w:type="spellStart"/>
      <w:r>
        <w:t>Attraction</w:t>
      </w:r>
      <w:proofErr w:type="spellEnd"/>
      <w:r>
        <w:t xml:space="preserve"> Management), MSK Digital, ENVI Tech, Mobility Innovation Hub. Níže jsou popsány provedené úpravy u jednotlivých strategických projektů včetně odůvodnění provedené úpravy:</w:t>
      </w:r>
    </w:p>
    <w:p w:rsidR="0085253D" w:rsidRDefault="0085253D" w:rsidP="0085253D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</w:pPr>
      <w:r>
        <w:t xml:space="preserve">Část I.1. Realizace a rozvoj programu MSIC </w:t>
      </w:r>
      <w:proofErr w:type="spellStart"/>
      <w:r>
        <w:t>Expand</w:t>
      </w:r>
      <w:proofErr w:type="spellEnd"/>
      <w:r>
        <w:t xml:space="preserve"> </w:t>
      </w:r>
    </w:p>
    <w:p w:rsidR="0085253D" w:rsidRDefault="0085253D" w:rsidP="0085253D">
      <w:pPr>
        <w:pStyle w:val="Odstavecseseznamem"/>
        <w:numPr>
          <w:ilvl w:val="1"/>
          <w:numId w:val="8"/>
        </w:numPr>
        <w:spacing w:after="0" w:line="240" w:lineRule="auto"/>
        <w:contextualSpacing w:val="0"/>
        <w:jc w:val="both"/>
      </w:pPr>
      <w:r>
        <w:t xml:space="preserve">Úprava výše kofinancování ze strany MSIC. </w:t>
      </w:r>
    </w:p>
    <w:p w:rsidR="0085253D" w:rsidRDefault="0085253D" w:rsidP="0085253D">
      <w:pPr>
        <w:pStyle w:val="Odstavecseseznamem"/>
        <w:numPr>
          <w:ilvl w:val="1"/>
          <w:numId w:val="8"/>
        </w:numPr>
        <w:spacing w:after="0" w:line="240" w:lineRule="auto"/>
        <w:contextualSpacing w:val="0"/>
        <w:jc w:val="both"/>
      </w:pPr>
      <w:r>
        <w:t xml:space="preserve">Zdůvodnění: Firmy, část služeb financují už ve fázi 1, aby měly větší zájem o úspěšné dokončení spolupráce. </w:t>
      </w:r>
    </w:p>
    <w:p w:rsidR="005309CB" w:rsidRDefault="005309CB" w:rsidP="005309CB">
      <w:pPr>
        <w:pStyle w:val="Odstavecseseznamem"/>
        <w:spacing w:after="0" w:line="240" w:lineRule="auto"/>
        <w:ind w:left="1440"/>
        <w:contextualSpacing w:val="0"/>
        <w:jc w:val="both"/>
      </w:pPr>
    </w:p>
    <w:p w:rsidR="0085253D" w:rsidRDefault="0085253D" w:rsidP="0085253D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</w:pPr>
      <w:r>
        <w:t xml:space="preserve">Část I.1: Realizace a rozvoj programu MSIC </w:t>
      </w:r>
      <w:proofErr w:type="spellStart"/>
      <w:r>
        <w:t>Expand</w:t>
      </w:r>
      <w:proofErr w:type="spellEnd"/>
    </w:p>
    <w:p w:rsidR="0085253D" w:rsidRDefault="0085253D" w:rsidP="0085253D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</w:pPr>
      <w:r>
        <w:t>Upřesnění zaměření spolupráce (zaměření na spolupráci s investory a korporacemi) s dalšími inovačními centry zapojenými v iniciativě Platinn.cz</w:t>
      </w:r>
    </w:p>
    <w:p w:rsidR="0085253D" w:rsidRDefault="0085253D" w:rsidP="0085253D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</w:pPr>
      <w:r>
        <w:t>Zdůvodnění: potřeba zajistit financování připravených změnových projektů</w:t>
      </w:r>
    </w:p>
    <w:p w:rsidR="005309CB" w:rsidRDefault="005309CB" w:rsidP="005309CB">
      <w:pPr>
        <w:pStyle w:val="Odstavecseseznamem"/>
        <w:spacing w:after="0" w:line="240" w:lineRule="auto"/>
        <w:ind w:left="1440"/>
        <w:contextualSpacing w:val="0"/>
        <w:jc w:val="both"/>
      </w:pPr>
    </w:p>
    <w:p w:rsidR="0085253D" w:rsidRDefault="0085253D" w:rsidP="0085253D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</w:pPr>
      <w:r>
        <w:t xml:space="preserve">Část I.2. EIC </w:t>
      </w:r>
      <w:proofErr w:type="spellStart"/>
      <w:r>
        <w:t>Accelerator</w:t>
      </w:r>
      <w:proofErr w:type="spellEnd"/>
      <w:r>
        <w:t xml:space="preserve"> a další </w:t>
      </w:r>
      <w:proofErr w:type="gramStart"/>
      <w:r>
        <w:t>unijní</w:t>
      </w:r>
      <w:proofErr w:type="gramEnd"/>
      <w:r>
        <w:t xml:space="preserve"> resp. národní grantové programy</w:t>
      </w:r>
    </w:p>
    <w:p w:rsidR="0085253D" w:rsidRDefault="0085253D" w:rsidP="0085253D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</w:pPr>
      <w:r>
        <w:t>Upřesnění počtu realizovaných konzultací, předložených projektových záměrů a osvětových akcí</w:t>
      </w:r>
    </w:p>
    <w:p w:rsidR="005309CB" w:rsidRDefault="005309CB" w:rsidP="005309CB">
      <w:pPr>
        <w:pStyle w:val="Odstavecseseznamem"/>
        <w:spacing w:after="0" w:line="240" w:lineRule="auto"/>
        <w:ind w:left="1440"/>
        <w:contextualSpacing w:val="0"/>
        <w:jc w:val="both"/>
      </w:pPr>
    </w:p>
    <w:p w:rsidR="0085253D" w:rsidRDefault="0085253D" w:rsidP="0085253D">
      <w:pPr>
        <w:pStyle w:val="Odstavecseseznamem"/>
        <w:numPr>
          <w:ilvl w:val="0"/>
          <w:numId w:val="13"/>
        </w:numPr>
        <w:spacing w:after="0" w:line="240" w:lineRule="auto"/>
        <w:contextualSpacing w:val="0"/>
        <w:jc w:val="both"/>
      </w:pPr>
      <w:r>
        <w:t>Část I.3. Síť expertů</w:t>
      </w:r>
    </w:p>
    <w:p w:rsidR="0085253D" w:rsidRDefault="0085253D" w:rsidP="0085253D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</w:pPr>
      <w:r>
        <w:t>Doplnění rozvoje sítě expertů v oblasti digitalizace a cirkulární ekonomiky</w:t>
      </w:r>
    </w:p>
    <w:p w:rsidR="0085253D" w:rsidRDefault="0085253D" w:rsidP="0085253D">
      <w:pPr>
        <w:pStyle w:val="Odstavecseseznamem"/>
        <w:numPr>
          <w:ilvl w:val="1"/>
          <w:numId w:val="13"/>
        </w:numPr>
        <w:spacing w:after="0" w:line="240" w:lineRule="auto"/>
        <w:contextualSpacing w:val="0"/>
        <w:jc w:val="both"/>
      </w:pPr>
      <w:r>
        <w:t>Zdůvodnění: v tuto chvíli má MSIC pilotně ověřeny 2 nové produkty pro malé a střední firmy z Moravskoslezského kraje, pro jejich úspěšnou realizaci je potřebné rozvíjet sítě specialistů.</w:t>
      </w:r>
    </w:p>
    <w:p w:rsidR="005309CB" w:rsidRDefault="005309CB" w:rsidP="005309CB">
      <w:pPr>
        <w:pStyle w:val="Odstavecseseznamem"/>
        <w:spacing w:after="0" w:line="240" w:lineRule="auto"/>
        <w:ind w:left="1440"/>
        <w:contextualSpacing w:val="0"/>
        <w:jc w:val="both"/>
      </w:pPr>
    </w:p>
    <w:p w:rsidR="0085253D" w:rsidRDefault="0085253D" w:rsidP="005309CB">
      <w:pPr>
        <w:pStyle w:val="Odstavecseseznamem"/>
        <w:numPr>
          <w:ilvl w:val="0"/>
          <w:numId w:val="13"/>
        </w:numPr>
        <w:spacing w:before="120" w:after="0" w:line="240" w:lineRule="auto"/>
        <w:ind w:hanging="357"/>
        <w:contextualSpacing w:val="0"/>
        <w:jc w:val="both"/>
      </w:pPr>
      <w:r>
        <w:t>Část I.4. příprava a pilotáž nových aktivit Regionální inovační strategie Moravskoslezského kraje (RIS MSK)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>Doplnění výstupů z realizovaných pilotáží, tj. manuálů pro implementaci aktivit/služeb/programu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 xml:space="preserve">Zdůvodnění: tyto manuály jsou připravované, aby bylo možné předání v rámci MSIC </w:t>
      </w:r>
      <w:proofErr w:type="gramStart"/>
      <w:r>
        <w:t>Ostrava</w:t>
      </w:r>
      <w:proofErr w:type="gramEnd"/>
      <w:r>
        <w:t xml:space="preserve"> resp. externím subjektům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>Úprava schématu pilotáže nových programů/služeb/aktivit.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>Zdůvodnění: na základě roční implementace předcházejícího schématu došlo k úpravě, tak aby se zajistila efektivita a flexibilita při pilotáži.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rPr>
          <w:b/>
          <w:bCs/>
        </w:rPr>
        <w:lastRenderedPageBreak/>
        <w:t>Strategický projekt PODREG</w:t>
      </w:r>
      <w:r>
        <w:t xml:space="preserve"> (resp. Podnikavý region). U tohoto projektu došlo k největším úpravám. Bylo doplněno několik nových služeb, které MSIC Ostrava nabízí start-upům a firmám z MSK.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 xml:space="preserve">Zdůvodnění: V roce 2020 bylo pilotováno několik nových služeb, a to na základě identifikovaných potřeb firem a start-upů (primárně v rámci diskusí PS Start-up </w:t>
      </w:r>
      <w:proofErr w:type="spellStart"/>
      <w:r>
        <w:t>Community</w:t>
      </w:r>
      <w:proofErr w:type="spellEnd"/>
      <w:r>
        <w:t xml:space="preserve">). Došlo k vyhodnocení těchto pilotovaných služeb, a to na základě zpětné vazby klientů a bylo rozhodnuto buď o pokračování pilotáže (Design Sprint, MSIC </w:t>
      </w:r>
      <w:proofErr w:type="spellStart"/>
      <w:r>
        <w:t>InnoLab</w:t>
      </w:r>
      <w:proofErr w:type="spellEnd"/>
      <w:r>
        <w:t xml:space="preserve">, MSIC </w:t>
      </w:r>
      <w:proofErr w:type="spellStart"/>
      <w:r>
        <w:t>Community</w:t>
      </w:r>
      <w:proofErr w:type="spellEnd"/>
      <w:r>
        <w:t>) resp. o zařazení služby do produktového portfolia MSIC Ostrava (MSIC Impuls, Business Kemp)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bookmarkStart w:id="1" w:name="_Hlk63684613"/>
      <w:r>
        <w:rPr>
          <w:b/>
          <w:bCs/>
        </w:rPr>
        <w:t>Strategický projekt TAM</w:t>
      </w:r>
      <w:r>
        <w:t xml:space="preserve"> (resp. Talent </w:t>
      </w:r>
      <w:proofErr w:type="spellStart"/>
      <w:r>
        <w:t>Attraction</w:t>
      </w:r>
      <w:proofErr w:type="spellEnd"/>
      <w:r>
        <w:t xml:space="preserve"> Management</w:t>
      </w:r>
      <w:bookmarkEnd w:id="1"/>
      <w:r>
        <w:t xml:space="preserve">). U tohoto projektu byla modifikována aktivita dotýkající se </w:t>
      </w:r>
      <w:proofErr w:type="spellStart"/>
      <w:r>
        <w:t>job-dating</w:t>
      </w:r>
      <w:proofErr w:type="spellEnd"/>
      <w:r>
        <w:t xml:space="preserve"> a byly doplněny dvě nové aktivity (Cool </w:t>
      </w:r>
      <w:proofErr w:type="spellStart"/>
      <w:r>
        <w:t>Valley</w:t>
      </w:r>
      <w:proofErr w:type="spellEnd"/>
      <w:r>
        <w:t xml:space="preserve"> Café – pilotáž; OEC – viz. výše)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 xml:space="preserve">Zdůvodnění: zařazení aktivit schválených na konci roku 2020 pro pilotní ověření. 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rPr>
          <w:b/>
          <w:bCs/>
        </w:rPr>
        <w:t>Strategický projekt MSK Digital</w:t>
      </w:r>
      <w:r>
        <w:t xml:space="preserve">. U tohoto projektu došlo </w:t>
      </w:r>
      <w:r w:rsidR="005309CB">
        <w:t>k</w:t>
      </w:r>
      <w:r>
        <w:t xml:space="preserve"> upřesnění počtu realizovaných aktivit a zahrnutí přípravy společného projektu s IT4I – EDIH Ostrava, ze kterého se budou v následujících letech financovat aktivit/služby v oblasti digitalizace, automatizace a robotizace pro malé a střední firmy z MSK.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rPr>
          <w:b/>
          <w:bCs/>
        </w:rPr>
        <w:t>Strategický projekt ENVI Tech</w:t>
      </w:r>
      <w:r>
        <w:t xml:space="preserve">. U tohoto projektu došlo k upřesnění aktivit projektu CECI, které musejí být dle projektové žádosti v roce 2021 realizovány. Dále byla doplněna služba tzv. cirkulárních skenů, která byla úspěšně pilotována v roce 2020. Byly upřesněny aktivity, které mají být realizovány v rámci iniciativy </w:t>
      </w:r>
      <w:proofErr w:type="spellStart"/>
      <w:r>
        <w:t>Global</w:t>
      </w:r>
      <w:proofErr w:type="spellEnd"/>
      <w:r>
        <w:t xml:space="preserve"> Start-up </w:t>
      </w:r>
      <w:proofErr w:type="spellStart"/>
      <w:r>
        <w:t>Cities</w:t>
      </w:r>
      <w:proofErr w:type="spellEnd"/>
      <w:r>
        <w:t xml:space="preserve"> (v roce 2020 uvedeny v popisu činností pod názvem „Start-up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“). Poslední změnou je doplnění spolupráce s evropskými inciativami </w:t>
      </w:r>
      <w:proofErr w:type="spellStart"/>
      <w:r>
        <w:t>Climate</w:t>
      </w:r>
      <w:proofErr w:type="spellEnd"/>
      <w:r>
        <w:t xml:space="preserve"> KIC a EIT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, které nabízejí start-upům zajímavé akcelerační programy, propojení na velké korporace a investory.</w:t>
      </w:r>
    </w:p>
    <w:p w:rsidR="0085253D" w:rsidRDefault="0085253D" w:rsidP="005309CB">
      <w:pPr>
        <w:pStyle w:val="Odstavecseseznamem"/>
        <w:numPr>
          <w:ilvl w:val="0"/>
          <w:numId w:val="13"/>
        </w:numPr>
        <w:spacing w:before="120" w:after="0" w:line="240" w:lineRule="auto"/>
        <w:ind w:hanging="357"/>
        <w:contextualSpacing w:val="0"/>
        <w:jc w:val="both"/>
      </w:pPr>
      <w:r>
        <w:t>Část I.5. Podpora realizace projektů Regionální inovační strategie Moravskoslezského kraje (RIS MSK)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>Upřesněny aktivity, které budou realizovány při přípravě a realizaci výzev dotačního programu</w:t>
      </w:r>
    </w:p>
    <w:p w:rsidR="0085253D" w:rsidRDefault="0085253D" w:rsidP="005309CB">
      <w:pPr>
        <w:pStyle w:val="Odstavecseseznamem"/>
        <w:numPr>
          <w:ilvl w:val="0"/>
          <w:numId w:val="13"/>
        </w:numPr>
        <w:spacing w:before="120" w:after="0" w:line="240" w:lineRule="auto"/>
        <w:ind w:hanging="357"/>
        <w:contextualSpacing w:val="0"/>
        <w:jc w:val="both"/>
      </w:pPr>
      <w:r>
        <w:t>I.6. Koordinace RIS MSK</w:t>
      </w:r>
    </w:p>
    <w:p w:rsidR="0085253D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 xml:space="preserve">Doplněny aktivity ve vztahu k regionální a národní inovační strategii a také doplněny aktivity zaměřené na vyhodnocení již realizovaných intervencí. Dle výsledků evaluací bude případně upraven systém poskytovaných služeb. </w:t>
      </w:r>
    </w:p>
    <w:p w:rsidR="003E7FAE" w:rsidRPr="005309CB" w:rsidRDefault="0085253D" w:rsidP="005309CB">
      <w:pPr>
        <w:pStyle w:val="Odstavecseseznamem"/>
        <w:numPr>
          <w:ilvl w:val="1"/>
          <w:numId w:val="13"/>
        </w:numPr>
        <w:spacing w:before="120" w:after="0" w:line="240" w:lineRule="auto"/>
        <w:ind w:hanging="357"/>
        <w:contextualSpacing w:val="0"/>
        <w:jc w:val="both"/>
      </w:pPr>
      <w:r>
        <w:t xml:space="preserve">Poslední významnou změnou bylo doplnění implementaci mezinárodního projektu EFFECT-SME, který se zaměřuje na vývoj zjednodušené metodiky pro vyhodnocení dopadů realizovaných intervencí, a který ze 100 </w:t>
      </w:r>
      <w:r>
        <w:rPr>
          <w:lang w:val="en-GB"/>
        </w:rPr>
        <w:t xml:space="preserve">% </w:t>
      </w:r>
      <w:proofErr w:type="spellStart"/>
      <w:r>
        <w:rPr>
          <w:lang w:val="en-GB"/>
        </w:rPr>
        <w:t>hrad</w:t>
      </w:r>
      <w:proofErr w:type="spellEnd"/>
      <w:r>
        <w:t>í Evropská komise z programu Horizon2020.</w:t>
      </w:r>
    </w:p>
    <w:sectPr w:rsidR="003E7FAE" w:rsidRPr="005309CB" w:rsidSect="005309C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9D1"/>
    <w:multiLevelType w:val="hybridMultilevel"/>
    <w:tmpl w:val="504CDACA"/>
    <w:lvl w:ilvl="0" w:tplc="39865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1AFC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4E5A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6108B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0CF4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092EF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97612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CB232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6471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5856022"/>
    <w:multiLevelType w:val="hybridMultilevel"/>
    <w:tmpl w:val="817E2EB2"/>
    <w:lvl w:ilvl="0" w:tplc="B258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6AD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22E3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9866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2B840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F440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09E8B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ECC9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28C98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C534B5E"/>
    <w:multiLevelType w:val="hybridMultilevel"/>
    <w:tmpl w:val="5956BF3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CA2952"/>
    <w:multiLevelType w:val="hybridMultilevel"/>
    <w:tmpl w:val="C1A2E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19C"/>
    <w:multiLevelType w:val="hybridMultilevel"/>
    <w:tmpl w:val="6242F59C"/>
    <w:lvl w:ilvl="0" w:tplc="1DA2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48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2E07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6DCFF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A207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0A19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FE880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C1CE1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76E7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AA06613"/>
    <w:multiLevelType w:val="hybridMultilevel"/>
    <w:tmpl w:val="F28C67AE"/>
    <w:lvl w:ilvl="0" w:tplc="E5824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7E8F"/>
    <w:multiLevelType w:val="hybridMultilevel"/>
    <w:tmpl w:val="0A3E2EB2"/>
    <w:lvl w:ilvl="0" w:tplc="E966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E67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9483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3CA62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6888D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902B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0B0C7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F24D9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D98BB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9FB0DA0"/>
    <w:multiLevelType w:val="hybridMultilevel"/>
    <w:tmpl w:val="9BF6D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94EB4"/>
    <w:multiLevelType w:val="hybridMultilevel"/>
    <w:tmpl w:val="C838A7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750CF"/>
    <w:multiLevelType w:val="hybridMultilevel"/>
    <w:tmpl w:val="30C8F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F2FBD"/>
    <w:multiLevelType w:val="hybridMultilevel"/>
    <w:tmpl w:val="233C3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AEA"/>
    <w:multiLevelType w:val="hybridMultilevel"/>
    <w:tmpl w:val="715C4A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F2C40"/>
    <w:multiLevelType w:val="hybridMultilevel"/>
    <w:tmpl w:val="9688621A"/>
    <w:lvl w:ilvl="0" w:tplc="02C484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C5"/>
    <w:rsid w:val="000242C2"/>
    <w:rsid w:val="0004115B"/>
    <w:rsid w:val="00067F96"/>
    <w:rsid w:val="000D5CB3"/>
    <w:rsid w:val="000D6780"/>
    <w:rsid w:val="00124C73"/>
    <w:rsid w:val="0012697C"/>
    <w:rsid w:val="00165951"/>
    <w:rsid w:val="001673F3"/>
    <w:rsid w:val="00214094"/>
    <w:rsid w:val="00216085"/>
    <w:rsid w:val="00257214"/>
    <w:rsid w:val="002E18DD"/>
    <w:rsid w:val="00386DB9"/>
    <w:rsid w:val="003A687E"/>
    <w:rsid w:val="003C2C50"/>
    <w:rsid w:val="003E6188"/>
    <w:rsid w:val="003E7C48"/>
    <w:rsid w:val="003E7FAE"/>
    <w:rsid w:val="003F5D6F"/>
    <w:rsid w:val="00417D2B"/>
    <w:rsid w:val="00483512"/>
    <w:rsid w:val="004E4654"/>
    <w:rsid w:val="005309CB"/>
    <w:rsid w:val="00537B53"/>
    <w:rsid w:val="005A071F"/>
    <w:rsid w:val="005D12B2"/>
    <w:rsid w:val="00636D51"/>
    <w:rsid w:val="00662FC5"/>
    <w:rsid w:val="006D733D"/>
    <w:rsid w:val="006F524C"/>
    <w:rsid w:val="0073159F"/>
    <w:rsid w:val="00742C2A"/>
    <w:rsid w:val="007D6A65"/>
    <w:rsid w:val="007F03C0"/>
    <w:rsid w:val="0085253D"/>
    <w:rsid w:val="00873ED1"/>
    <w:rsid w:val="00902418"/>
    <w:rsid w:val="00926638"/>
    <w:rsid w:val="00953167"/>
    <w:rsid w:val="00960868"/>
    <w:rsid w:val="009A4002"/>
    <w:rsid w:val="009D53C5"/>
    <w:rsid w:val="009F1B78"/>
    <w:rsid w:val="00A56E58"/>
    <w:rsid w:val="00A65D4A"/>
    <w:rsid w:val="00A97F8A"/>
    <w:rsid w:val="00AE23DD"/>
    <w:rsid w:val="00B16E70"/>
    <w:rsid w:val="00B46592"/>
    <w:rsid w:val="00BA4A46"/>
    <w:rsid w:val="00BA6539"/>
    <w:rsid w:val="00BE1CD5"/>
    <w:rsid w:val="00BE21DD"/>
    <w:rsid w:val="00BE5B99"/>
    <w:rsid w:val="00C270D0"/>
    <w:rsid w:val="00C44EAE"/>
    <w:rsid w:val="00C662E9"/>
    <w:rsid w:val="00C90316"/>
    <w:rsid w:val="00D055A6"/>
    <w:rsid w:val="00D06534"/>
    <w:rsid w:val="00D16451"/>
    <w:rsid w:val="00D379ED"/>
    <w:rsid w:val="00D45BA9"/>
    <w:rsid w:val="00E0365E"/>
    <w:rsid w:val="00E611A3"/>
    <w:rsid w:val="00E704B7"/>
    <w:rsid w:val="00EB1183"/>
    <w:rsid w:val="00EC5726"/>
    <w:rsid w:val="00F02D1E"/>
    <w:rsid w:val="00F079EE"/>
    <w:rsid w:val="00F81866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041E"/>
  <w15:docId w15:val="{6FF49EF7-4E0A-4304-825E-49CADC6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9D53C5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9D53C5"/>
    <w:pPr>
      <w:spacing w:after="0" w:line="240" w:lineRule="auto"/>
      <w:jc w:val="both"/>
    </w:pPr>
    <w:rPr>
      <w:sz w:val="24"/>
      <w:szCs w:val="24"/>
    </w:rPr>
  </w:style>
  <w:style w:type="paragraph" w:customStyle="1" w:styleId="MSKDuvodovazpravaZacatek">
    <w:name w:val="MSK_Duvodova zprava_Zacatek"/>
    <w:basedOn w:val="MSKNormal"/>
    <w:next w:val="MSKNormal"/>
    <w:qFormat/>
    <w:rsid w:val="009D53C5"/>
    <w:rPr>
      <w:u w:val="single"/>
    </w:rPr>
  </w:style>
  <w:style w:type="paragraph" w:styleId="Odstavecseseznamem">
    <w:name w:val="List Paragraph"/>
    <w:basedOn w:val="Normln"/>
    <w:uiPriority w:val="34"/>
    <w:qFormat/>
    <w:rsid w:val="00067F96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253D"/>
    <w:rPr>
      <w:color w:val="0563C1"/>
      <w:u w:val="single"/>
    </w:rPr>
  </w:style>
  <w:style w:type="table" w:styleId="Mkatabulky">
    <w:name w:val="Table Grid"/>
    <w:basedOn w:val="Normlntabulka"/>
    <w:uiPriority w:val="39"/>
    <w:rsid w:val="008525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7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C4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57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7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7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7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726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65D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5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jemskrajem.cz" TargetMode="External"/><Relationship Id="rId5" Type="http://schemas.openxmlformats.org/officeDocument/2006/relationships/hyperlink" Target="http://www.faj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1896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Radek</dc:creator>
  <cp:lastModifiedBy>Bražina Ladislav</cp:lastModifiedBy>
  <cp:revision>6</cp:revision>
  <cp:lastPrinted>2021-02-08T10:37:00Z</cp:lastPrinted>
  <dcterms:created xsi:type="dcterms:W3CDTF">2021-02-08T14:36:00Z</dcterms:created>
  <dcterms:modified xsi:type="dcterms:W3CDTF">2021-02-09T09:19:00Z</dcterms:modified>
</cp:coreProperties>
</file>