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3CED" w14:textId="77777777" w:rsidR="00F32650" w:rsidRDefault="00DF4AB7">
      <w:pPr>
        <w:jc w:val="both"/>
        <w:rPr>
          <w:rFonts w:asciiTheme="minorHAnsi" w:hAnsiTheme="minorHAnsi" w:cs="Aharoni"/>
          <w:b/>
          <w:bCs/>
          <w:sz w:val="44"/>
          <w:szCs w:val="44"/>
          <w:u w:val="single"/>
        </w:rPr>
      </w:pPr>
      <w:r w:rsidRPr="008262CC">
        <w:rPr>
          <w:rFonts w:asciiTheme="minorHAnsi" w:hAnsiTheme="minorHAnsi" w:cs="Aharoni"/>
          <w:b/>
          <w:bCs/>
          <w:sz w:val="44"/>
          <w:szCs w:val="44"/>
          <w:u w:val="single"/>
        </w:rPr>
        <w:t>Důvodová zpráva</w:t>
      </w:r>
      <w:r w:rsidR="00F32650" w:rsidRPr="008262CC">
        <w:rPr>
          <w:rFonts w:asciiTheme="minorHAnsi" w:hAnsiTheme="minorHAnsi" w:cs="Aharoni"/>
          <w:b/>
          <w:bCs/>
          <w:sz w:val="44"/>
          <w:szCs w:val="44"/>
          <w:u w:val="single"/>
        </w:rPr>
        <w:t>:</w:t>
      </w:r>
    </w:p>
    <w:p w14:paraId="293BABDD" w14:textId="77777777" w:rsidR="00BB216B" w:rsidRPr="008262CC" w:rsidRDefault="00BB216B">
      <w:pPr>
        <w:jc w:val="both"/>
        <w:rPr>
          <w:rFonts w:asciiTheme="minorHAnsi" w:hAnsiTheme="minorHAnsi" w:cs="Arial"/>
          <w:b/>
          <w:bCs/>
          <w:sz w:val="20"/>
          <w:szCs w:val="20"/>
          <w:u w:val="single"/>
        </w:rPr>
      </w:pPr>
    </w:p>
    <w:p w14:paraId="713D0CA2" w14:textId="322C8EB3" w:rsidR="007E1812" w:rsidRPr="008262CC" w:rsidRDefault="00C34EFC" w:rsidP="008F7350">
      <w:pPr>
        <w:jc w:val="both"/>
        <w:rPr>
          <w:rFonts w:asciiTheme="minorHAnsi" w:hAnsiTheme="minorHAnsi" w:cs="Arial"/>
          <w:sz w:val="20"/>
          <w:szCs w:val="20"/>
        </w:rPr>
      </w:pPr>
      <w:r w:rsidRPr="008262CC">
        <w:rPr>
          <w:rFonts w:asciiTheme="minorHAnsi" w:hAnsiTheme="minorHAnsi" w:cs="Arial"/>
          <w:sz w:val="20"/>
          <w:szCs w:val="20"/>
        </w:rPr>
        <w:t xml:space="preserve">Na základě rozhodnutí rady města č. </w:t>
      </w:r>
      <w:bookmarkStart w:id="0" w:name="_GoBack"/>
      <w:bookmarkEnd w:id="0"/>
      <w:r w:rsidR="00E4534A">
        <w:rPr>
          <w:rFonts w:asciiTheme="minorHAnsi" w:hAnsiTheme="minorHAnsi" w:cs="Arial"/>
          <w:sz w:val="20"/>
          <w:szCs w:val="20"/>
        </w:rPr>
        <w:t>5907/RM1822/89</w:t>
      </w:r>
      <w:r w:rsidRPr="00CA1682">
        <w:rPr>
          <w:rFonts w:asciiTheme="minorHAnsi" w:hAnsiTheme="minorHAnsi" w:cs="Arial"/>
          <w:sz w:val="20"/>
          <w:szCs w:val="20"/>
        </w:rPr>
        <w:t xml:space="preserve"> ze dne </w:t>
      </w:r>
      <w:r w:rsidR="006E57B4">
        <w:rPr>
          <w:rFonts w:asciiTheme="minorHAnsi" w:hAnsiTheme="minorHAnsi" w:cs="Arial"/>
          <w:sz w:val="20"/>
          <w:szCs w:val="20"/>
        </w:rPr>
        <w:t>16</w:t>
      </w:r>
      <w:r w:rsidR="00A03B11">
        <w:rPr>
          <w:rFonts w:asciiTheme="minorHAnsi" w:hAnsiTheme="minorHAnsi" w:cs="Arial"/>
          <w:sz w:val="20"/>
          <w:szCs w:val="20"/>
        </w:rPr>
        <w:t xml:space="preserve">. </w:t>
      </w:r>
      <w:r w:rsidR="006E57B4">
        <w:rPr>
          <w:rFonts w:asciiTheme="minorHAnsi" w:hAnsiTheme="minorHAnsi" w:cs="Arial"/>
          <w:sz w:val="20"/>
          <w:szCs w:val="20"/>
        </w:rPr>
        <w:t>02</w:t>
      </w:r>
      <w:r w:rsidR="00A03B11">
        <w:rPr>
          <w:rFonts w:asciiTheme="minorHAnsi" w:hAnsiTheme="minorHAnsi" w:cs="Arial"/>
          <w:sz w:val="20"/>
          <w:szCs w:val="20"/>
        </w:rPr>
        <w:t>. 20</w:t>
      </w:r>
      <w:r w:rsidR="006E57B4">
        <w:rPr>
          <w:rFonts w:asciiTheme="minorHAnsi" w:hAnsiTheme="minorHAnsi" w:cs="Arial"/>
          <w:sz w:val="20"/>
          <w:szCs w:val="20"/>
        </w:rPr>
        <w:t>21</w:t>
      </w:r>
      <w:r w:rsidRPr="00CA1682">
        <w:rPr>
          <w:rFonts w:asciiTheme="minorHAnsi" w:hAnsiTheme="minorHAnsi" w:cs="Arial"/>
          <w:sz w:val="20"/>
          <w:szCs w:val="20"/>
        </w:rPr>
        <w:t xml:space="preserve"> </w:t>
      </w:r>
      <w:r w:rsidRPr="008262CC">
        <w:rPr>
          <w:rFonts w:asciiTheme="minorHAnsi" w:hAnsiTheme="minorHAnsi" w:cs="Arial"/>
          <w:sz w:val="20"/>
          <w:szCs w:val="20"/>
        </w:rPr>
        <w:t xml:space="preserve">a zastupitelstva města </w:t>
      </w:r>
      <w:r w:rsidR="008F7350">
        <w:rPr>
          <w:rFonts w:asciiTheme="minorHAnsi" w:hAnsiTheme="minorHAnsi" w:cs="Arial"/>
          <w:sz w:val="20"/>
          <w:szCs w:val="20"/>
        </w:rPr>
        <w:br/>
      </w:r>
      <w:r w:rsidRPr="00603B0B">
        <w:rPr>
          <w:rFonts w:asciiTheme="minorHAnsi" w:hAnsiTheme="minorHAnsi" w:cs="Arial"/>
          <w:sz w:val="20"/>
          <w:szCs w:val="20"/>
        </w:rPr>
        <w:t xml:space="preserve">č. </w:t>
      </w:r>
      <w:r w:rsidR="00A35FBD" w:rsidRPr="00603B0B">
        <w:rPr>
          <w:rFonts w:asciiTheme="minorHAnsi" w:hAnsiTheme="minorHAnsi" w:cs="Arial"/>
          <w:sz w:val="20"/>
          <w:szCs w:val="20"/>
        </w:rPr>
        <w:t>1012/ZM1822/16</w:t>
      </w:r>
      <w:r w:rsidR="00CA1682" w:rsidRPr="00603B0B">
        <w:rPr>
          <w:rFonts w:asciiTheme="minorHAnsi" w:hAnsiTheme="minorHAnsi" w:cs="Arial"/>
          <w:sz w:val="20"/>
          <w:szCs w:val="20"/>
        </w:rPr>
        <w:t xml:space="preserve"> ze dne </w:t>
      </w:r>
      <w:r w:rsidR="00A35FBD" w:rsidRPr="00603B0B">
        <w:rPr>
          <w:rFonts w:asciiTheme="minorHAnsi" w:hAnsiTheme="minorHAnsi" w:cs="Arial"/>
          <w:sz w:val="20"/>
          <w:szCs w:val="20"/>
        </w:rPr>
        <w:t>16. 9</w:t>
      </w:r>
      <w:r w:rsidR="00120EDB" w:rsidRPr="00603B0B">
        <w:rPr>
          <w:rFonts w:asciiTheme="minorHAnsi" w:hAnsiTheme="minorHAnsi" w:cs="Arial"/>
          <w:sz w:val="20"/>
          <w:szCs w:val="20"/>
        </w:rPr>
        <w:t>. 2020</w:t>
      </w:r>
      <w:r w:rsidRPr="00CA1682">
        <w:rPr>
          <w:rFonts w:asciiTheme="minorHAnsi" w:hAnsiTheme="minorHAnsi" w:cs="Arial"/>
          <w:sz w:val="20"/>
          <w:szCs w:val="20"/>
        </w:rPr>
        <w:t xml:space="preserve"> je </w:t>
      </w:r>
      <w:r w:rsidRPr="008262CC">
        <w:rPr>
          <w:rFonts w:asciiTheme="minorHAnsi" w:hAnsiTheme="minorHAnsi" w:cs="Arial"/>
          <w:sz w:val="20"/>
          <w:szCs w:val="20"/>
        </w:rPr>
        <w:t>předkládána pravidelná informace o stavu přípravy a realizace projektů:</w:t>
      </w:r>
    </w:p>
    <w:p w14:paraId="4E1A8A67" w14:textId="77777777" w:rsidR="00C34EFC" w:rsidRPr="008262CC" w:rsidRDefault="00C34EFC" w:rsidP="00C34EFC">
      <w:pPr>
        <w:jc w:val="both"/>
        <w:rPr>
          <w:rFonts w:asciiTheme="minorHAnsi" w:hAnsiTheme="minorHAnsi" w:cs="Arial"/>
          <w:b/>
          <w:bCs/>
          <w:sz w:val="20"/>
          <w:szCs w:val="20"/>
        </w:rPr>
      </w:pP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6C7746" w:rsidRPr="008262CC" w14:paraId="1D73C602" w14:textId="77777777" w:rsidTr="006C7746">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14:paraId="6B3C6C74" w14:textId="77777777" w:rsidR="006C7746" w:rsidRPr="008262CC" w:rsidRDefault="006C7746"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Název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14:paraId="08199295" w14:textId="5648BDA7" w:rsidR="006C7746" w:rsidRDefault="006C7746"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investorů </w:t>
            </w:r>
            <w:r w:rsidRPr="008262CC">
              <w:rPr>
                <w:rFonts w:asciiTheme="minorHAnsi" w:hAnsiTheme="minorHAnsi" w:cs="Arial"/>
                <w:b/>
                <w:bCs/>
                <w:color w:val="000000"/>
                <w:sz w:val="18"/>
                <w:szCs w:val="18"/>
              </w:rPr>
              <w:t xml:space="preserve">k </w:t>
            </w:r>
            <w:r w:rsidR="00D277A1">
              <w:rPr>
                <w:rFonts w:asciiTheme="minorHAnsi" w:hAnsiTheme="minorHAnsi" w:cs="Arial"/>
                <w:b/>
                <w:bCs/>
                <w:color w:val="000000"/>
                <w:sz w:val="18"/>
                <w:szCs w:val="18"/>
              </w:rPr>
              <w:t>30.06</w:t>
            </w:r>
            <w:r w:rsidR="00D277A1" w:rsidRPr="008262CC">
              <w:rPr>
                <w:rFonts w:asciiTheme="minorHAnsi" w:hAnsiTheme="minorHAnsi" w:cs="Arial"/>
                <w:b/>
                <w:bCs/>
                <w:color w:val="000000"/>
                <w:sz w:val="18"/>
                <w:szCs w:val="18"/>
              </w:rPr>
              <w:t>.20</w:t>
            </w:r>
            <w:r w:rsidR="00D277A1">
              <w:rPr>
                <w:rFonts w:asciiTheme="minorHAnsi" w:hAnsiTheme="minorHAnsi" w:cs="Arial"/>
                <w:b/>
                <w:bCs/>
                <w:color w:val="000000"/>
                <w:sz w:val="18"/>
                <w:szCs w:val="18"/>
              </w:rPr>
              <w:t>20</w:t>
            </w:r>
          </w:p>
          <w:p w14:paraId="58191C18" w14:textId="77777777" w:rsidR="006C7746" w:rsidRPr="008262CC" w:rsidRDefault="006C7746"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14:paraId="5657A6E0" w14:textId="31AEF017" w:rsidR="006C7746" w:rsidRDefault="006C7746"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investorů </w:t>
            </w:r>
            <w:r w:rsidRPr="008262CC">
              <w:rPr>
                <w:rFonts w:asciiTheme="minorHAnsi" w:hAnsiTheme="minorHAnsi" w:cs="Arial"/>
                <w:b/>
                <w:bCs/>
                <w:color w:val="000000"/>
                <w:sz w:val="18"/>
                <w:szCs w:val="18"/>
              </w:rPr>
              <w:t>k</w:t>
            </w:r>
            <w:r w:rsidR="002F7CB0">
              <w:rPr>
                <w:rFonts w:asciiTheme="minorHAnsi" w:hAnsiTheme="minorHAnsi" w:cs="Arial"/>
                <w:b/>
                <w:bCs/>
                <w:color w:val="000000"/>
                <w:sz w:val="18"/>
                <w:szCs w:val="18"/>
              </w:rPr>
              <w:t> 3</w:t>
            </w:r>
            <w:r w:rsidR="00D277A1">
              <w:rPr>
                <w:rFonts w:asciiTheme="minorHAnsi" w:hAnsiTheme="minorHAnsi" w:cs="Arial"/>
                <w:b/>
                <w:bCs/>
                <w:color w:val="000000"/>
                <w:sz w:val="18"/>
                <w:szCs w:val="18"/>
              </w:rPr>
              <w:t>1</w:t>
            </w:r>
            <w:r w:rsidR="002F7CB0">
              <w:rPr>
                <w:rFonts w:asciiTheme="minorHAnsi" w:hAnsiTheme="minorHAnsi" w:cs="Arial"/>
                <w:b/>
                <w:bCs/>
                <w:color w:val="000000"/>
                <w:sz w:val="18"/>
                <w:szCs w:val="18"/>
              </w:rPr>
              <w:t>.</w:t>
            </w:r>
            <w:r w:rsidR="00D277A1">
              <w:rPr>
                <w:rFonts w:asciiTheme="minorHAnsi" w:hAnsiTheme="minorHAnsi" w:cs="Arial"/>
                <w:b/>
                <w:bCs/>
                <w:color w:val="000000"/>
                <w:sz w:val="18"/>
                <w:szCs w:val="18"/>
              </w:rPr>
              <w:t>12</w:t>
            </w:r>
            <w:r w:rsidRPr="008262CC">
              <w:rPr>
                <w:rFonts w:asciiTheme="minorHAnsi" w:hAnsiTheme="minorHAnsi" w:cs="Arial"/>
                <w:b/>
                <w:bCs/>
                <w:color w:val="000000"/>
                <w:sz w:val="18"/>
                <w:szCs w:val="18"/>
              </w:rPr>
              <w:t>.20</w:t>
            </w:r>
            <w:r w:rsidR="00334572">
              <w:rPr>
                <w:rFonts w:asciiTheme="minorHAnsi" w:hAnsiTheme="minorHAnsi" w:cs="Arial"/>
                <w:b/>
                <w:bCs/>
                <w:color w:val="000000"/>
                <w:sz w:val="18"/>
                <w:szCs w:val="18"/>
              </w:rPr>
              <w:t>20</w:t>
            </w:r>
          </w:p>
          <w:p w14:paraId="7BA9B743" w14:textId="77777777" w:rsidR="006C7746" w:rsidRPr="008262CC" w:rsidRDefault="006C7746"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14:paraId="38E88804" w14:textId="142F5692" w:rsidR="006C7746" w:rsidRPr="008262CC" w:rsidRDefault="006C7746" w:rsidP="00AB55D3">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D277A1">
              <w:rPr>
                <w:rFonts w:asciiTheme="minorHAnsi" w:hAnsiTheme="minorHAnsi" w:cs="Arial"/>
                <w:b/>
                <w:bCs/>
                <w:color w:val="000000"/>
                <w:sz w:val="18"/>
                <w:szCs w:val="18"/>
              </w:rPr>
              <w:t>30.06</w:t>
            </w:r>
            <w:r w:rsidR="00D277A1" w:rsidRPr="008262CC">
              <w:rPr>
                <w:rFonts w:asciiTheme="minorHAnsi" w:hAnsiTheme="minorHAnsi" w:cs="Arial"/>
                <w:b/>
                <w:bCs/>
                <w:color w:val="000000"/>
                <w:sz w:val="18"/>
                <w:szCs w:val="18"/>
              </w:rPr>
              <w:t>.20</w:t>
            </w:r>
            <w:r w:rsidR="00D277A1">
              <w:rPr>
                <w:rFonts w:asciiTheme="minorHAnsi" w:hAnsiTheme="minorHAnsi" w:cs="Arial"/>
                <w:b/>
                <w:bCs/>
                <w:color w:val="000000"/>
                <w:sz w:val="18"/>
                <w:szCs w:val="18"/>
              </w:rPr>
              <w:t>20</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14:paraId="4BB6D2E6" w14:textId="398B4713" w:rsidR="006C7746" w:rsidRPr="008262CC" w:rsidRDefault="006C7746" w:rsidP="00D277A1">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w:t>
            </w:r>
            <w:r w:rsidR="002F7CB0">
              <w:rPr>
                <w:rFonts w:asciiTheme="minorHAnsi" w:hAnsiTheme="minorHAnsi" w:cs="Arial"/>
                <w:b/>
                <w:bCs/>
                <w:color w:val="000000"/>
                <w:sz w:val="18"/>
                <w:szCs w:val="18"/>
              </w:rPr>
              <w:t> 3</w:t>
            </w:r>
            <w:r w:rsidR="00D277A1">
              <w:rPr>
                <w:rFonts w:asciiTheme="minorHAnsi" w:hAnsiTheme="minorHAnsi" w:cs="Arial"/>
                <w:b/>
                <w:bCs/>
                <w:color w:val="000000"/>
                <w:sz w:val="18"/>
                <w:szCs w:val="18"/>
              </w:rPr>
              <w:t>1</w:t>
            </w:r>
            <w:r w:rsidR="002F7CB0">
              <w:rPr>
                <w:rFonts w:asciiTheme="minorHAnsi" w:hAnsiTheme="minorHAnsi" w:cs="Arial"/>
                <w:b/>
                <w:bCs/>
                <w:color w:val="000000"/>
                <w:sz w:val="18"/>
                <w:szCs w:val="18"/>
              </w:rPr>
              <w:t>.</w:t>
            </w:r>
            <w:r w:rsidR="00D277A1">
              <w:rPr>
                <w:rFonts w:asciiTheme="minorHAnsi" w:hAnsiTheme="minorHAnsi" w:cs="Arial"/>
                <w:b/>
                <w:bCs/>
                <w:color w:val="000000"/>
                <w:sz w:val="18"/>
                <w:szCs w:val="18"/>
              </w:rPr>
              <w:t>12</w:t>
            </w:r>
            <w:r w:rsidRPr="008262CC">
              <w:rPr>
                <w:rFonts w:asciiTheme="minorHAnsi" w:hAnsiTheme="minorHAnsi" w:cs="Arial"/>
                <w:b/>
                <w:bCs/>
                <w:color w:val="000000"/>
                <w:sz w:val="18"/>
                <w:szCs w:val="18"/>
              </w:rPr>
              <w:t>.20</w:t>
            </w:r>
            <w:r w:rsidR="00334572">
              <w:rPr>
                <w:rFonts w:asciiTheme="minorHAnsi" w:hAnsiTheme="minorHAnsi" w:cs="Arial"/>
                <w:b/>
                <w:bCs/>
                <w:color w:val="000000"/>
                <w:sz w:val="18"/>
                <w:szCs w:val="18"/>
              </w:rPr>
              <w:t>20</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14:paraId="3FC5AC67" w14:textId="7331B448" w:rsidR="006C7746" w:rsidRPr="008262CC" w:rsidRDefault="006C7746" w:rsidP="00D277A1">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sidR="002F7CB0">
              <w:rPr>
                <w:rFonts w:asciiTheme="minorHAnsi" w:hAnsiTheme="minorHAnsi" w:cs="Arial"/>
                <w:b/>
                <w:bCs/>
                <w:color w:val="000000"/>
                <w:sz w:val="18"/>
                <w:szCs w:val="18"/>
              </w:rPr>
              <w:t>3</w:t>
            </w:r>
            <w:r w:rsidR="00D277A1">
              <w:rPr>
                <w:rFonts w:asciiTheme="minorHAnsi" w:hAnsiTheme="minorHAnsi" w:cs="Arial"/>
                <w:b/>
                <w:bCs/>
                <w:color w:val="000000"/>
                <w:sz w:val="18"/>
                <w:szCs w:val="18"/>
              </w:rPr>
              <w:t>1</w:t>
            </w:r>
            <w:r w:rsidR="002F7CB0">
              <w:rPr>
                <w:rFonts w:asciiTheme="minorHAnsi" w:hAnsiTheme="minorHAnsi" w:cs="Arial"/>
                <w:b/>
                <w:bCs/>
                <w:color w:val="000000"/>
                <w:sz w:val="18"/>
                <w:szCs w:val="18"/>
              </w:rPr>
              <w:t>.</w:t>
            </w:r>
            <w:r w:rsidR="00D277A1">
              <w:rPr>
                <w:rFonts w:asciiTheme="minorHAnsi" w:hAnsiTheme="minorHAnsi" w:cs="Arial"/>
                <w:b/>
                <w:bCs/>
                <w:color w:val="000000"/>
                <w:sz w:val="18"/>
                <w:szCs w:val="18"/>
              </w:rPr>
              <w:t>12</w:t>
            </w:r>
            <w:r w:rsidR="002F7CB0">
              <w:rPr>
                <w:rFonts w:asciiTheme="minorHAnsi" w:hAnsiTheme="minorHAnsi" w:cs="Arial"/>
                <w:b/>
                <w:bCs/>
                <w:color w:val="000000"/>
                <w:sz w:val="18"/>
                <w:szCs w:val="18"/>
              </w:rPr>
              <w:t>.</w:t>
            </w:r>
            <w:r w:rsidRPr="008262CC">
              <w:rPr>
                <w:rFonts w:asciiTheme="minorHAnsi" w:hAnsiTheme="minorHAnsi" w:cs="Arial"/>
                <w:b/>
                <w:bCs/>
                <w:color w:val="000000"/>
                <w:sz w:val="18"/>
                <w:szCs w:val="18"/>
              </w:rPr>
              <w:t>20</w:t>
            </w:r>
            <w:r w:rsidR="00593B22">
              <w:rPr>
                <w:rFonts w:asciiTheme="minorHAnsi" w:hAnsiTheme="minorHAnsi" w:cs="Arial"/>
                <w:b/>
                <w:bCs/>
                <w:color w:val="000000"/>
                <w:sz w:val="18"/>
                <w:szCs w:val="18"/>
              </w:rPr>
              <w:t>2</w:t>
            </w:r>
            <w:r w:rsidR="00334572">
              <w:rPr>
                <w:rFonts w:asciiTheme="minorHAnsi" w:hAnsiTheme="minorHAnsi" w:cs="Arial"/>
                <w:b/>
                <w:bCs/>
                <w:color w:val="000000"/>
                <w:sz w:val="18"/>
                <w:szCs w:val="18"/>
              </w:rPr>
              <w:t>1</w:t>
            </w:r>
          </w:p>
        </w:tc>
      </w:tr>
      <w:tr w:rsidR="003B7846" w:rsidRPr="00DA1D3B" w14:paraId="268F324B" w14:textId="77777777" w:rsidTr="00593B22">
        <w:trPr>
          <w:trHeight w:val="543"/>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14:paraId="7D80055A" w14:textId="77777777" w:rsidR="003B7846" w:rsidRPr="008262CC" w:rsidRDefault="003B7846" w:rsidP="003B7846">
            <w:pPr>
              <w:rPr>
                <w:rFonts w:asciiTheme="minorHAnsi" w:hAnsiTheme="minorHAnsi" w:cs="Arial"/>
                <w:color w:val="000000"/>
                <w:sz w:val="18"/>
                <w:szCs w:val="18"/>
              </w:rPr>
            </w:pPr>
            <w:r w:rsidRPr="008262CC">
              <w:rPr>
                <w:rFonts w:asciiTheme="minorHAnsi" w:hAnsiTheme="minorHAnsi" w:cs="Arial"/>
                <w:color w:val="000000"/>
                <w:sz w:val="18"/>
                <w:szCs w:val="18"/>
              </w:rPr>
              <w:t>Průmyslová zóna Ostrava-Hrabová</w:t>
            </w:r>
          </w:p>
        </w:tc>
        <w:tc>
          <w:tcPr>
            <w:tcW w:w="1985" w:type="dxa"/>
            <w:tcBorders>
              <w:top w:val="single" w:sz="12" w:space="0" w:color="auto"/>
              <w:left w:val="single" w:sz="12" w:space="0" w:color="auto"/>
              <w:bottom w:val="single" w:sz="4" w:space="0" w:color="auto"/>
              <w:right w:val="single" w:sz="8" w:space="0" w:color="auto"/>
            </w:tcBorders>
            <w:vAlign w:val="center"/>
          </w:tcPr>
          <w:p w14:paraId="335A4A9A" w14:textId="7CDC46CB" w:rsidR="003B7846" w:rsidRPr="003B7846" w:rsidRDefault="003B7846" w:rsidP="003B7846">
            <w:pPr>
              <w:jc w:val="center"/>
              <w:rPr>
                <w:rFonts w:asciiTheme="minorHAnsi" w:hAnsiTheme="minorHAnsi" w:cs="Arial"/>
                <w:sz w:val="18"/>
                <w:szCs w:val="18"/>
              </w:rPr>
            </w:pPr>
            <w:r w:rsidRPr="003B7846">
              <w:rPr>
                <w:rFonts w:asciiTheme="minorHAnsi" w:hAnsiTheme="minorHAnsi" w:cs="Arial"/>
                <w:sz w:val="18"/>
                <w:szCs w:val="18"/>
              </w:rPr>
              <w:t>23 765,44</w:t>
            </w:r>
          </w:p>
        </w:tc>
        <w:tc>
          <w:tcPr>
            <w:tcW w:w="2122" w:type="dxa"/>
            <w:tcBorders>
              <w:top w:val="single" w:sz="12" w:space="0" w:color="auto"/>
              <w:left w:val="single" w:sz="8" w:space="0" w:color="auto"/>
              <w:bottom w:val="single" w:sz="4" w:space="0" w:color="auto"/>
              <w:right w:val="single" w:sz="8" w:space="0" w:color="auto"/>
            </w:tcBorders>
            <w:vAlign w:val="center"/>
          </w:tcPr>
          <w:p w14:paraId="29ECC7FE" w14:textId="6FD087FE" w:rsidR="003B7846" w:rsidRPr="003B7846" w:rsidRDefault="0055125D" w:rsidP="003B7846">
            <w:pPr>
              <w:ind w:left="-208"/>
              <w:jc w:val="center"/>
              <w:rPr>
                <w:rFonts w:asciiTheme="minorHAnsi" w:hAnsiTheme="minorHAnsi" w:cs="Arial"/>
                <w:color w:val="C00000"/>
                <w:sz w:val="18"/>
                <w:szCs w:val="18"/>
              </w:rPr>
            </w:pPr>
            <w:r w:rsidRPr="00414287">
              <w:rPr>
                <w:rFonts w:asciiTheme="minorHAnsi" w:hAnsiTheme="minorHAnsi" w:cs="Arial"/>
                <w:b/>
                <w:sz w:val="18"/>
                <w:szCs w:val="18"/>
              </w:rPr>
              <w:t>24 126,82</w:t>
            </w:r>
          </w:p>
        </w:tc>
        <w:tc>
          <w:tcPr>
            <w:tcW w:w="1426" w:type="dxa"/>
            <w:tcBorders>
              <w:top w:val="single" w:sz="12" w:space="0" w:color="auto"/>
              <w:left w:val="single" w:sz="8" w:space="0" w:color="auto"/>
              <w:bottom w:val="single" w:sz="4" w:space="0" w:color="auto"/>
              <w:right w:val="single" w:sz="8" w:space="0" w:color="auto"/>
            </w:tcBorders>
            <w:vAlign w:val="center"/>
          </w:tcPr>
          <w:p w14:paraId="7BC13123" w14:textId="5BB07F85" w:rsidR="003B7846" w:rsidRPr="003B7846" w:rsidRDefault="003B7846" w:rsidP="003B7846">
            <w:pPr>
              <w:jc w:val="center"/>
              <w:rPr>
                <w:rFonts w:asciiTheme="minorHAnsi" w:hAnsiTheme="minorHAnsi" w:cs="Arial"/>
                <w:sz w:val="18"/>
                <w:szCs w:val="18"/>
                <w:lang w:val="en-US"/>
              </w:rPr>
            </w:pPr>
            <w:r w:rsidRPr="003B7846">
              <w:rPr>
                <w:rFonts w:asciiTheme="minorHAnsi" w:hAnsiTheme="minorHAnsi" w:cs="Arial"/>
                <w:sz w:val="18"/>
                <w:szCs w:val="18"/>
              </w:rPr>
              <w:t>8 412</w:t>
            </w:r>
          </w:p>
        </w:tc>
        <w:tc>
          <w:tcPr>
            <w:tcW w:w="1417" w:type="dxa"/>
            <w:tcBorders>
              <w:top w:val="single" w:sz="12" w:space="0" w:color="auto"/>
              <w:left w:val="single" w:sz="8" w:space="0" w:color="auto"/>
              <w:bottom w:val="single" w:sz="4" w:space="0" w:color="auto"/>
              <w:right w:val="single" w:sz="4" w:space="0" w:color="auto"/>
            </w:tcBorders>
            <w:vAlign w:val="center"/>
          </w:tcPr>
          <w:p w14:paraId="3D871210" w14:textId="69F37D36" w:rsidR="003B7846" w:rsidRPr="003B7846" w:rsidRDefault="0055125D" w:rsidP="003B7846">
            <w:pPr>
              <w:jc w:val="center"/>
              <w:rPr>
                <w:rFonts w:asciiTheme="minorHAnsi" w:hAnsiTheme="minorHAnsi" w:cs="Arial"/>
                <w:color w:val="C00000"/>
                <w:sz w:val="18"/>
                <w:szCs w:val="18"/>
                <w:lang w:val="en-US"/>
              </w:rPr>
            </w:pPr>
            <w:r w:rsidRPr="00414287">
              <w:rPr>
                <w:rFonts w:asciiTheme="minorHAnsi" w:hAnsiTheme="minorHAnsi" w:cs="Arial"/>
                <w:b/>
                <w:sz w:val="18"/>
                <w:szCs w:val="18"/>
              </w:rPr>
              <w:t>9 411</w:t>
            </w:r>
          </w:p>
        </w:tc>
        <w:tc>
          <w:tcPr>
            <w:tcW w:w="1418" w:type="dxa"/>
            <w:tcBorders>
              <w:top w:val="single" w:sz="12" w:space="0" w:color="auto"/>
              <w:left w:val="nil"/>
              <w:bottom w:val="single" w:sz="4" w:space="0" w:color="auto"/>
              <w:right w:val="single" w:sz="8" w:space="0" w:color="auto"/>
            </w:tcBorders>
            <w:vAlign w:val="center"/>
            <w:hideMark/>
          </w:tcPr>
          <w:p w14:paraId="01CCBD84" w14:textId="237A038A" w:rsidR="003B7846" w:rsidRPr="003B7846" w:rsidRDefault="0055125D" w:rsidP="003B7846">
            <w:pPr>
              <w:jc w:val="center"/>
              <w:rPr>
                <w:rFonts w:asciiTheme="minorHAnsi" w:hAnsiTheme="minorHAnsi" w:cs="Arial"/>
                <w:color w:val="C00000"/>
                <w:sz w:val="18"/>
                <w:szCs w:val="18"/>
                <w:lang w:val="en-US"/>
              </w:rPr>
            </w:pPr>
            <w:r w:rsidRPr="00E20920">
              <w:rPr>
                <w:rFonts w:asciiTheme="minorHAnsi" w:hAnsiTheme="minorHAnsi" w:cs="Arial"/>
                <w:bCs/>
                <w:sz w:val="18"/>
                <w:szCs w:val="18"/>
              </w:rPr>
              <w:t>10 030</w:t>
            </w:r>
          </w:p>
        </w:tc>
      </w:tr>
      <w:tr w:rsidR="003B7846" w:rsidRPr="00DA1D3B" w14:paraId="0428B960" w14:textId="77777777" w:rsidTr="00593B22">
        <w:trPr>
          <w:trHeight w:val="300"/>
          <w:jc w:val="center"/>
        </w:trPr>
        <w:tc>
          <w:tcPr>
            <w:tcW w:w="2268" w:type="dxa"/>
            <w:tcBorders>
              <w:top w:val="nil"/>
              <w:left w:val="single" w:sz="8" w:space="0" w:color="auto"/>
              <w:bottom w:val="single" w:sz="4" w:space="0" w:color="auto"/>
              <w:right w:val="single" w:sz="12" w:space="0" w:color="auto"/>
            </w:tcBorders>
            <w:vAlign w:val="center"/>
            <w:hideMark/>
          </w:tcPr>
          <w:p w14:paraId="5E8929B5" w14:textId="77777777" w:rsidR="003B7846" w:rsidRPr="008262CC" w:rsidRDefault="003B7846" w:rsidP="003B7846">
            <w:pPr>
              <w:rPr>
                <w:rFonts w:asciiTheme="minorHAnsi" w:hAnsiTheme="minorHAnsi" w:cs="Arial"/>
                <w:color w:val="000000"/>
                <w:sz w:val="18"/>
                <w:szCs w:val="18"/>
              </w:rPr>
            </w:pPr>
            <w:r w:rsidRPr="008262CC">
              <w:rPr>
                <w:rFonts w:asciiTheme="minorHAnsi" w:hAnsiTheme="minorHAnsi" w:cs="Arial"/>
                <w:color w:val="000000"/>
                <w:sz w:val="18"/>
                <w:szCs w:val="18"/>
              </w:rPr>
              <w:t>Strategická průmyslová zóna Ostrava-Mošnov</w:t>
            </w:r>
          </w:p>
        </w:tc>
        <w:tc>
          <w:tcPr>
            <w:tcW w:w="1985" w:type="dxa"/>
            <w:tcBorders>
              <w:top w:val="nil"/>
              <w:left w:val="single" w:sz="12" w:space="0" w:color="auto"/>
              <w:bottom w:val="single" w:sz="4" w:space="0" w:color="auto"/>
              <w:right w:val="single" w:sz="8" w:space="0" w:color="auto"/>
            </w:tcBorders>
            <w:vAlign w:val="center"/>
          </w:tcPr>
          <w:p w14:paraId="4F11FA04" w14:textId="4CB6C567"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14 778,42</w:t>
            </w:r>
          </w:p>
        </w:tc>
        <w:tc>
          <w:tcPr>
            <w:tcW w:w="2122" w:type="dxa"/>
            <w:tcBorders>
              <w:top w:val="nil"/>
              <w:left w:val="single" w:sz="8" w:space="0" w:color="auto"/>
              <w:bottom w:val="single" w:sz="4" w:space="0" w:color="auto"/>
              <w:right w:val="single" w:sz="8" w:space="0" w:color="auto"/>
            </w:tcBorders>
            <w:vAlign w:val="center"/>
          </w:tcPr>
          <w:p w14:paraId="7FB14F8E" w14:textId="1478D8BE" w:rsidR="003B7846" w:rsidRPr="003B7846" w:rsidRDefault="000510F1" w:rsidP="003B7846">
            <w:pPr>
              <w:ind w:left="-208"/>
              <w:jc w:val="center"/>
              <w:rPr>
                <w:rFonts w:asciiTheme="minorHAnsi" w:hAnsiTheme="minorHAnsi" w:cs="Arial"/>
                <w:color w:val="C00000"/>
                <w:sz w:val="18"/>
                <w:szCs w:val="18"/>
              </w:rPr>
            </w:pPr>
            <w:r w:rsidRPr="00947F42">
              <w:rPr>
                <w:rFonts w:asciiTheme="minorHAnsi" w:hAnsiTheme="minorHAnsi" w:cs="Arial"/>
                <w:b/>
                <w:bCs/>
                <w:sz w:val="18"/>
                <w:szCs w:val="18"/>
              </w:rPr>
              <w:t>15 704,53</w:t>
            </w:r>
          </w:p>
        </w:tc>
        <w:tc>
          <w:tcPr>
            <w:tcW w:w="1426" w:type="dxa"/>
            <w:tcBorders>
              <w:top w:val="nil"/>
              <w:left w:val="single" w:sz="8" w:space="0" w:color="auto"/>
              <w:bottom w:val="single" w:sz="4" w:space="0" w:color="auto"/>
              <w:right w:val="single" w:sz="8" w:space="0" w:color="auto"/>
            </w:tcBorders>
            <w:vAlign w:val="center"/>
          </w:tcPr>
          <w:p w14:paraId="5045EE33" w14:textId="6201D82E"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3 705</w:t>
            </w:r>
          </w:p>
        </w:tc>
        <w:tc>
          <w:tcPr>
            <w:tcW w:w="1417" w:type="dxa"/>
            <w:tcBorders>
              <w:top w:val="nil"/>
              <w:left w:val="single" w:sz="8" w:space="0" w:color="auto"/>
              <w:bottom w:val="single" w:sz="4" w:space="0" w:color="auto"/>
              <w:right w:val="single" w:sz="4" w:space="0" w:color="auto"/>
            </w:tcBorders>
            <w:vAlign w:val="center"/>
          </w:tcPr>
          <w:p w14:paraId="25CFFEDC" w14:textId="3FA0ABFB" w:rsidR="003B7846" w:rsidRPr="003B7846" w:rsidRDefault="000510F1" w:rsidP="003B7846">
            <w:pPr>
              <w:jc w:val="center"/>
              <w:rPr>
                <w:rFonts w:asciiTheme="minorHAnsi" w:hAnsiTheme="minorHAnsi" w:cs="Arial"/>
                <w:color w:val="C00000"/>
                <w:sz w:val="18"/>
                <w:szCs w:val="18"/>
              </w:rPr>
            </w:pPr>
            <w:r w:rsidRPr="00A26955">
              <w:rPr>
                <w:rFonts w:asciiTheme="minorHAnsi" w:hAnsiTheme="minorHAnsi" w:cs="Arial"/>
                <w:b/>
                <w:bCs/>
                <w:sz w:val="18"/>
                <w:szCs w:val="18"/>
              </w:rPr>
              <w:t>3 864</w:t>
            </w:r>
          </w:p>
        </w:tc>
        <w:tc>
          <w:tcPr>
            <w:tcW w:w="1418" w:type="dxa"/>
            <w:tcBorders>
              <w:top w:val="nil"/>
              <w:left w:val="nil"/>
              <w:bottom w:val="single" w:sz="4" w:space="0" w:color="auto"/>
              <w:right w:val="single" w:sz="8" w:space="0" w:color="auto"/>
            </w:tcBorders>
            <w:vAlign w:val="center"/>
            <w:hideMark/>
          </w:tcPr>
          <w:p w14:paraId="3770F9B7" w14:textId="450BFBBF" w:rsidR="003B7846" w:rsidRPr="003B7846" w:rsidRDefault="000510F1" w:rsidP="003B7846">
            <w:pPr>
              <w:jc w:val="center"/>
              <w:rPr>
                <w:rFonts w:asciiTheme="minorHAnsi" w:hAnsiTheme="minorHAnsi" w:cs="Arial"/>
                <w:color w:val="C00000"/>
                <w:sz w:val="18"/>
                <w:szCs w:val="18"/>
              </w:rPr>
            </w:pPr>
            <w:r w:rsidRPr="002C3AD2">
              <w:rPr>
                <w:rFonts w:asciiTheme="minorHAnsi" w:hAnsiTheme="minorHAnsi" w:cs="Arial"/>
                <w:bCs/>
                <w:sz w:val="18"/>
                <w:szCs w:val="18"/>
              </w:rPr>
              <w:t>3 722</w:t>
            </w:r>
          </w:p>
        </w:tc>
      </w:tr>
      <w:tr w:rsidR="003B7846" w:rsidRPr="008262CC" w14:paraId="6E7E4921" w14:textId="77777777" w:rsidTr="006C7746">
        <w:trPr>
          <w:trHeight w:val="408"/>
          <w:jc w:val="center"/>
        </w:trPr>
        <w:tc>
          <w:tcPr>
            <w:tcW w:w="2268" w:type="dxa"/>
            <w:tcBorders>
              <w:top w:val="single" w:sz="4" w:space="0" w:color="auto"/>
              <w:left w:val="single" w:sz="8" w:space="0" w:color="auto"/>
              <w:bottom w:val="single" w:sz="8" w:space="0" w:color="auto"/>
              <w:right w:val="single" w:sz="12" w:space="0" w:color="auto"/>
            </w:tcBorders>
            <w:vAlign w:val="center"/>
          </w:tcPr>
          <w:p w14:paraId="295C4DD3" w14:textId="6EFE43BD" w:rsidR="003B7846" w:rsidRPr="008262CC" w:rsidRDefault="003B7846" w:rsidP="003B7846">
            <w:pPr>
              <w:rPr>
                <w:rFonts w:asciiTheme="minorHAnsi" w:hAnsiTheme="minorHAnsi" w:cs="Arial"/>
                <w:color w:val="000000"/>
                <w:sz w:val="18"/>
                <w:szCs w:val="18"/>
              </w:rPr>
            </w:pPr>
            <w:r w:rsidRPr="008262CC">
              <w:rPr>
                <w:rFonts w:asciiTheme="minorHAnsi" w:hAnsiTheme="minorHAnsi" w:cs="Arial"/>
                <w:color w:val="000000"/>
                <w:sz w:val="18"/>
                <w:szCs w:val="18"/>
              </w:rPr>
              <w:t xml:space="preserve">Rozvojová zóna Hrušov </w:t>
            </w:r>
          </w:p>
        </w:tc>
        <w:tc>
          <w:tcPr>
            <w:tcW w:w="1985" w:type="dxa"/>
            <w:tcBorders>
              <w:top w:val="single" w:sz="4" w:space="0" w:color="auto"/>
              <w:left w:val="single" w:sz="12" w:space="0" w:color="auto"/>
              <w:bottom w:val="single" w:sz="8" w:space="0" w:color="auto"/>
              <w:right w:val="single" w:sz="8" w:space="0" w:color="auto"/>
            </w:tcBorders>
            <w:vAlign w:val="center"/>
          </w:tcPr>
          <w:p w14:paraId="55226919" w14:textId="4E63F94B"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326,5</w:t>
            </w:r>
          </w:p>
        </w:tc>
        <w:tc>
          <w:tcPr>
            <w:tcW w:w="2122" w:type="dxa"/>
            <w:tcBorders>
              <w:top w:val="single" w:sz="4" w:space="0" w:color="auto"/>
              <w:left w:val="single" w:sz="8" w:space="0" w:color="auto"/>
              <w:bottom w:val="single" w:sz="8" w:space="0" w:color="auto"/>
              <w:right w:val="single" w:sz="8" w:space="0" w:color="auto"/>
            </w:tcBorders>
            <w:vAlign w:val="center"/>
          </w:tcPr>
          <w:p w14:paraId="2426CEEF" w14:textId="61E97D4D" w:rsidR="003B7846" w:rsidRPr="003B7846" w:rsidRDefault="003E0A69" w:rsidP="003B7846">
            <w:pPr>
              <w:ind w:left="-208"/>
              <w:jc w:val="center"/>
              <w:rPr>
                <w:rFonts w:asciiTheme="minorHAnsi" w:hAnsiTheme="minorHAnsi" w:cs="Arial"/>
                <w:b/>
                <w:bCs/>
                <w:color w:val="C00000"/>
                <w:sz w:val="18"/>
                <w:szCs w:val="18"/>
              </w:rPr>
            </w:pPr>
            <w:r w:rsidRPr="003E0A69">
              <w:rPr>
                <w:rFonts w:asciiTheme="minorHAnsi" w:hAnsiTheme="minorHAnsi" w:cs="Arial"/>
                <w:b/>
                <w:bCs/>
                <w:sz w:val="18"/>
                <w:szCs w:val="18"/>
              </w:rPr>
              <w:t>364,00</w:t>
            </w:r>
          </w:p>
        </w:tc>
        <w:tc>
          <w:tcPr>
            <w:tcW w:w="1426" w:type="dxa"/>
            <w:tcBorders>
              <w:top w:val="single" w:sz="4" w:space="0" w:color="auto"/>
              <w:left w:val="single" w:sz="8" w:space="0" w:color="auto"/>
              <w:bottom w:val="single" w:sz="8" w:space="0" w:color="auto"/>
              <w:right w:val="single" w:sz="8" w:space="0" w:color="auto"/>
            </w:tcBorders>
            <w:vAlign w:val="center"/>
          </w:tcPr>
          <w:p w14:paraId="7FDD5B0C" w14:textId="5C68D779"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0</w:t>
            </w:r>
          </w:p>
        </w:tc>
        <w:tc>
          <w:tcPr>
            <w:tcW w:w="1417" w:type="dxa"/>
            <w:tcBorders>
              <w:top w:val="single" w:sz="4" w:space="0" w:color="auto"/>
              <w:left w:val="single" w:sz="8" w:space="0" w:color="auto"/>
              <w:bottom w:val="single" w:sz="8" w:space="0" w:color="auto"/>
              <w:right w:val="single" w:sz="4" w:space="0" w:color="auto"/>
            </w:tcBorders>
            <w:vAlign w:val="center"/>
          </w:tcPr>
          <w:p w14:paraId="69FACC59" w14:textId="77777777" w:rsidR="003B7846" w:rsidRPr="003B7846" w:rsidRDefault="003B7846" w:rsidP="003B7846">
            <w:pPr>
              <w:jc w:val="center"/>
              <w:rPr>
                <w:rFonts w:asciiTheme="minorHAnsi" w:hAnsiTheme="minorHAnsi" w:cs="Arial"/>
                <w:b/>
                <w:bCs/>
                <w:color w:val="C00000"/>
                <w:sz w:val="18"/>
                <w:szCs w:val="18"/>
              </w:rPr>
            </w:pPr>
            <w:r w:rsidRPr="005516BE">
              <w:rPr>
                <w:rFonts w:asciiTheme="minorHAnsi" w:hAnsiTheme="minorHAnsi" w:cs="Arial"/>
                <w:b/>
                <w:bCs/>
                <w:sz w:val="18"/>
                <w:szCs w:val="18"/>
              </w:rPr>
              <w:t>0</w:t>
            </w:r>
          </w:p>
        </w:tc>
        <w:tc>
          <w:tcPr>
            <w:tcW w:w="1418" w:type="dxa"/>
            <w:tcBorders>
              <w:top w:val="single" w:sz="4" w:space="0" w:color="auto"/>
              <w:left w:val="nil"/>
              <w:bottom w:val="single" w:sz="8" w:space="0" w:color="auto"/>
              <w:right w:val="single" w:sz="8" w:space="0" w:color="auto"/>
            </w:tcBorders>
            <w:vAlign w:val="center"/>
          </w:tcPr>
          <w:p w14:paraId="557E6F3D" w14:textId="1C7C0636" w:rsidR="003B7846" w:rsidRPr="003B7846" w:rsidRDefault="003E0A69" w:rsidP="003B7846">
            <w:pPr>
              <w:jc w:val="center"/>
              <w:rPr>
                <w:rFonts w:asciiTheme="minorHAnsi" w:hAnsiTheme="minorHAnsi" w:cs="Arial"/>
                <w:color w:val="C00000"/>
                <w:sz w:val="18"/>
                <w:szCs w:val="18"/>
              </w:rPr>
            </w:pPr>
            <w:r w:rsidRPr="0061042A">
              <w:rPr>
                <w:rFonts w:asciiTheme="minorHAnsi" w:hAnsiTheme="minorHAnsi" w:cs="Arial"/>
                <w:sz w:val="18"/>
                <w:szCs w:val="18"/>
              </w:rPr>
              <w:t>110</w:t>
            </w:r>
          </w:p>
        </w:tc>
      </w:tr>
      <w:tr w:rsidR="003B7846" w:rsidRPr="00DA1D3B" w14:paraId="6AE7DFA0" w14:textId="77777777" w:rsidTr="006C7746">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14:paraId="7DC86C3F" w14:textId="77777777" w:rsidR="003B7846" w:rsidRPr="008262CC" w:rsidRDefault="003B7846" w:rsidP="003B7846">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14:paraId="0CEDB76F" w14:textId="28ECD566"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38 870,36</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14:paraId="16A2CB42" w14:textId="5E419611" w:rsidR="003B7846" w:rsidRPr="003B7846" w:rsidRDefault="003E0A69" w:rsidP="003B7846">
            <w:pPr>
              <w:ind w:left="-208"/>
              <w:jc w:val="center"/>
              <w:rPr>
                <w:rFonts w:asciiTheme="minorHAnsi" w:hAnsiTheme="minorHAnsi" w:cs="Arial"/>
                <w:b/>
                <w:bCs/>
                <w:color w:val="C00000"/>
                <w:sz w:val="18"/>
                <w:szCs w:val="18"/>
              </w:rPr>
            </w:pPr>
            <w:r w:rsidRPr="00820B60">
              <w:rPr>
                <w:rFonts w:asciiTheme="minorHAnsi" w:hAnsiTheme="minorHAnsi" w:cs="Arial"/>
                <w:b/>
                <w:bCs/>
                <w:sz w:val="18"/>
                <w:szCs w:val="18"/>
              </w:rPr>
              <w:t>40 195,35</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14:paraId="7E5C63B6" w14:textId="6E6F4E1F" w:rsidR="003B7846" w:rsidRPr="003B7846" w:rsidRDefault="003B7846" w:rsidP="003B7846">
            <w:pPr>
              <w:jc w:val="center"/>
              <w:rPr>
                <w:rFonts w:asciiTheme="minorHAnsi" w:hAnsiTheme="minorHAnsi" w:cs="Arial"/>
                <w:sz w:val="18"/>
                <w:szCs w:val="18"/>
              </w:rPr>
            </w:pPr>
            <w:r w:rsidRPr="003B7846">
              <w:rPr>
                <w:rFonts w:asciiTheme="minorHAnsi" w:hAnsiTheme="minorHAnsi" w:cs="Arial"/>
                <w:bCs/>
                <w:sz w:val="18"/>
                <w:szCs w:val="18"/>
              </w:rPr>
              <w:t>12 117</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14:paraId="396A3AEC" w14:textId="1C438C41" w:rsidR="003B7846" w:rsidRPr="003B7846" w:rsidRDefault="005516BE" w:rsidP="003B7846">
            <w:pPr>
              <w:jc w:val="center"/>
              <w:rPr>
                <w:rFonts w:asciiTheme="minorHAnsi" w:hAnsiTheme="minorHAnsi" w:cs="Arial"/>
                <w:b/>
                <w:bCs/>
                <w:color w:val="C00000"/>
                <w:sz w:val="18"/>
                <w:szCs w:val="18"/>
              </w:rPr>
            </w:pPr>
            <w:r w:rsidRPr="005516BE">
              <w:rPr>
                <w:rFonts w:asciiTheme="minorHAnsi" w:hAnsiTheme="minorHAnsi" w:cs="Arial"/>
                <w:b/>
                <w:bCs/>
                <w:sz w:val="18"/>
                <w:szCs w:val="18"/>
              </w:rPr>
              <w:t>13 275</w:t>
            </w:r>
          </w:p>
        </w:tc>
        <w:tc>
          <w:tcPr>
            <w:tcW w:w="1418" w:type="dxa"/>
            <w:tcBorders>
              <w:top w:val="single" w:sz="12" w:space="0" w:color="auto"/>
              <w:left w:val="nil"/>
              <w:bottom w:val="single" w:sz="8" w:space="0" w:color="auto"/>
              <w:right w:val="single" w:sz="8" w:space="0" w:color="auto"/>
            </w:tcBorders>
            <w:shd w:val="clear" w:color="auto" w:fill="D9D9D9"/>
            <w:vAlign w:val="center"/>
          </w:tcPr>
          <w:p w14:paraId="3B6348AD" w14:textId="668BDE32" w:rsidR="003B7846" w:rsidRPr="003B7846" w:rsidRDefault="006F693B" w:rsidP="003B7846">
            <w:pPr>
              <w:jc w:val="center"/>
              <w:rPr>
                <w:rFonts w:asciiTheme="minorHAnsi" w:hAnsiTheme="minorHAnsi" w:cs="Arial"/>
                <w:bCs/>
                <w:color w:val="C00000"/>
                <w:sz w:val="18"/>
                <w:szCs w:val="18"/>
              </w:rPr>
            </w:pPr>
            <w:r w:rsidRPr="00820B60">
              <w:rPr>
                <w:rFonts w:asciiTheme="minorHAnsi" w:hAnsiTheme="minorHAnsi" w:cs="Arial"/>
                <w:bCs/>
                <w:sz w:val="18"/>
                <w:szCs w:val="18"/>
              </w:rPr>
              <w:t>13 862</w:t>
            </w:r>
          </w:p>
        </w:tc>
      </w:tr>
    </w:tbl>
    <w:p w14:paraId="5C7AE19A" w14:textId="77777777" w:rsidR="004F6E52" w:rsidRPr="008262CC" w:rsidRDefault="004F6E52" w:rsidP="004C4077">
      <w:pPr>
        <w:pStyle w:val="Zkladntext"/>
        <w:spacing w:before="60"/>
        <w:rPr>
          <w:rFonts w:asciiTheme="minorHAnsi" w:hAnsiTheme="minorHAnsi" w:cs="Arial"/>
          <w:sz w:val="16"/>
          <w:szCs w:val="16"/>
        </w:rPr>
      </w:pPr>
      <w:r w:rsidRPr="008262CC">
        <w:rPr>
          <w:rFonts w:asciiTheme="minorHAnsi" w:hAnsiTheme="minorHAnsi" w:cs="Arial"/>
          <w:sz w:val="16"/>
          <w:szCs w:val="16"/>
        </w:rPr>
        <w:t>Zdroj: jednotliví investoři</w:t>
      </w:r>
    </w:p>
    <w:p w14:paraId="712DC11C" w14:textId="6D18E461" w:rsidR="00F36367" w:rsidRDefault="00100547" w:rsidP="00207613">
      <w:pPr>
        <w:pStyle w:val="Zkladntext"/>
        <w:tabs>
          <w:tab w:val="left" w:pos="0"/>
          <w:tab w:val="left" w:pos="142"/>
        </w:tabs>
        <w:spacing w:after="120"/>
        <w:rPr>
          <w:rFonts w:asciiTheme="minorHAnsi" w:hAnsiTheme="minorHAnsi" w:cs="Arial"/>
          <w:sz w:val="16"/>
          <w:szCs w:val="16"/>
        </w:rPr>
      </w:pPr>
      <w:r w:rsidRPr="008262CC">
        <w:rPr>
          <w:rFonts w:asciiTheme="minorHAnsi" w:hAnsiTheme="minorHAnsi" w:cs="Arial"/>
          <w:sz w:val="16"/>
          <w:szCs w:val="16"/>
        </w:rPr>
        <w:tab/>
      </w:r>
    </w:p>
    <w:p w14:paraId="03564C28" w14:textId="77777777" w:rsidR="00AE4791" w:rsidRPr="008262CC" w:rsidRDefault="00100547" w:rsidP="00207613">
      <w:pPr>
        <w:pStyle w:val="Zkladntext"/>
        <w:tabs>
          <w:tab w:val="left" w:pos="0"/>
          <w:tab w:val="left" w:pos="142"/>
        </w:tabs>
        <w:spacing w:after="120"/>
        <w:rPr>
          <w:rFonts w:asciiTheme="minorHAnsi" w:hAnsiTheme="minorHAnsi" w:cs="Arial"/>
          <w:sz w:val="16"/>
          <w:szCs w:val="16"/>
        </w:rPr>
      </w:pPr>
      <w:r w:rsidRPr="008262CC">
        <w:rPr>
          <w:rFonts w:asciiTheme="minorHAnsi" w:hAnsiTheme="minorHAnsi" w:cs="Arial"/>
          <w:sz w:val="16"/>
          <w:szCs w:val="16"/>
        </w:rPr>
        <w:tab/>
      </w:r>
      <w:r w:rsidR="00C34EFC" w:rsidRPr="008262CC">
        <w:rPr>
          <w:rFonts w:asciiTheme="minorHAnsi" w:hAnsiTheme="minorHAnsi" w:cs="Arial"/>
          <w:sz w:val="16"/>
          <w:szCs w:val="16"/>
        </w:rPr>
        <w:t xml:space="preserve"> </w:t>
      </w:r>
    </w:p>
    <w:p w14:paraId="20B44D1C" w14:textId="77777777" w:rsidR="00F32650" w:rsidRPr="008262CC" w:rsidRDefault="00A305C6" w:rsidP="008A42ED">
      <w:pPr>
        <w:pStyle w:val="Zkladntext"/>
        <w:numPr>
          <w:ilvl w:val="0"/>
          <w:numId w:val="1"/>
        </w:numPr>
        <w:spacing w:after="120"/>
        <w:ind w:left="641" w:hanging="357"/>
        <w:jc w:val="left"/>
        <w:rPr>
          <w:rFonts w:asciiTheme="minorHAnsi" w:hAnsiTheme="minorHAnsi" w:cs="Arial"/>
          <w:b/>
          <w:sz w:val="22"/>
          <w:szCs w:val="22"/>
        </w:rPr>
      </w:pPr>
      <w:r w:rsidRPr="008262CC">
        <w:rPr>
          <w:rFonts w:asciiTheme="minorHAnsi" w:hAnsiTheme="minorHAnsi" w:cs="Arial"/>
          <w:b/>
          <w:sz w:val="22"/>
          <w:szCs w:val="22"/>
        </w:rPr>
        <w:t>Průmyslov</w:t>
      </w:r>
      <w:r w:rsidR="005C7C86" w:rsidRPr="008262CC">
        <w:rPr>
          <w:rFonts w:asciiTheme="minorHAnsi" w:hAnsiTheme="minorHAnsi" w:cs="Arial"/>
          <w:b/>
          <w:sz w:val="22"/>
          <w:szCs w:val="22"/>
        </w:rPr>
        <w:t>á</w:t>
      </w:r>
      <w:r w:rsidRPr="008262CC">
        <w:rPr>
          <w:rFonts w:asciiTheme="minorHAnsi" w:hAnsiTheme="minorHAnsi" w:cs="Arial"/>
          <w:b/>
          <w:sz w:val="22"/>
          <w:szCs w:val="22"/>
        </w:rPr>
        <w:t xml:space="preserve"> zón</w:t>
      </w:r>
      <w:r w:rsidR="005C7C86" w:rsidRPr="008262CC">
        <w:rPr>
          <w:rFonts w:asciiTheme="minorHAnsi" w:hAnsiTheme="minorHAnsi" w:cs="Arial"/>
          <w:b/>
          <w:sz w:val="22"/>
          <w:szCs w:val="22"/>
        </w:rPr>
        <w:t>a</w:t>
      </w:r>
      <w:r w:rsidRPr="008262CC">
        <w:rPr>
          <w:rFonts w:asciiTheme="minorHAnsi" w:hAnsiTheme="minorHAnsi" w:cs="Arial"/>
          <w:b/>
          <w:sz w:val="22"/>
          <w:szCs w:val="22"/>
        </w:rPr>
        <w:t xml:space="preserve"> Ostrava-Hrabová </w:t>
      </w: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A55CE8" w:rsidRPr="008262CC" w14:paraId="72F91460" w14:textId="77777777" w:rsidTr="00A55CE8">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14:paraId="3FFEF5F3" w14:textId="77777777" w:rsidR="00A55CE8" w:rsidRPr="008262CC" w:rsidRDefault="00A55CE8"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Investoři </w:t>
            </w:r>
            <w:r w:rsidRPr="008262CC">
              <w:rPr>
                <w:rFonts w:asciiTheme="minorHAnsi" w:hAnsiTheme="minorHAnsi" w:cs="Arial"/>
                <w:b/>
                <w:bCs/>
                <w:color w:val="000000"/>
                <w:sz w:val="18"/>
                <w:szCs w:val="18"/>
              </w:rPr>
              <w:t xml:space="preserve">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14:paraId="332E4FC2" w14:textId="27A5DF0E" w:rsidR="00A55CE8" w:rsidRDefault="00A55CE8"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investora </w:t>
            </w:r>
            <w:r w:rsidRPr="008262CC">
              <w:rPr>
                <w:rFonts w:asciiTheme="minorHAnsi" w:hAnsiTheme="minorHAnsi" w:cs="Arial"/>
                <w:b/>
                <w:bCs/>
                <w:color w:val="000000"/>
                <w:sz w:val="18"/>
                <w:szCs w:val="18"/>
              </w:rPr>
              <w:t>k</w:t>
            </w:r>
            <w:r w:rsidR="00007252">
              <w:rPr>
                <w:rFonts w:asciiTheme="minorHAnsi" w:hAnsiTheme="minorHAnsi" w:cs="Arial"/>
                <w:b/>
                <w:bCs/>
                <w:color w:val="000000"/>
                <w:sz w:val="18"/>
                <w:szCs w:val="18"/>
              </w:rPr>
              <w:t> </w:t>
            </w:r>
            <w:r w:rsidR="009B0816">
              <w:rPr>
                <w:rFonts w:asciiTheme="minorHAnsi" w:hAnsiTheme="minorHAnsi" w:cs="Arial"/>
                <w:b/>
                <w:bCs/>
                <w:color w:val="000000"/>
                <w:sz w:val="18"/>
                <w:szCs w:val="18"/>
              </w:rPr>
              <w:t>30.06.2020</w:t>
            </w:r>
          </w:p>
          <w:p w14:paraId="12B68F36" w14:textId="77777777" w:rsidR="00A55CE8" w:rsidRPr="008262CC" w:rsidRDefault="00A55CE8"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14:paraId="00A0B3E8" w14:textId="10AC6D24" w:rsidR="00A55CE8" w:rsidRDefault="00A55CE8"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investora </w:t>
            </w:r>
            <w:r w:rsidRPr="008262CC">
              <w:rPr>
                <w:rFonts w:asciiTheme="minorHAnsi" w:hAnsiTheme="minorHAnsi" w:cs="Arial"/>
                <w:b/>
                <w:bCs/>
                <w:color w:val="000000"/>
                <w:sz w:val="18"/>
                <w:szCs w:val="18"/>
              </w:rPr>
              <w:t>k</w:t>
            </w:r>
            <w:r w:rsidR="00007252">
              <w:rPr>
                <w:rFonts w:asciiTheme="minorHAnsi" w:hAnsiTheme="minorHAnsi" w:cs="Arial"/>
                <w:b/>
                <w:bCs/>
                <w:color w:val="000000"/>
                <w:sz w:val="18"/>
                <w:szCs w:val="18"/>
              </w:rPr>
              <w:t> 3</w:t>
            </w:r>
            <w:r w:rsidR="009B0816">
              <w:rPr>
                <w:rFonts w:asciiTheme="minorHAnsi" w:hAnsiTheme="minorHAnsi" w:cs="Arial"/>
                <w:b/>
                <w:bCs/>
                <w:color w:val="000000"/>
                <w:sz w:val="18"/>
                <w:szCs w:val="18"/>
              </w:rPr>
              <w:t>1</w:t>
            </w:r>
            <w:r w:rsidR="00007252">
              <w:rPr>
                <w:rFonts w:asciiTheme="minorHAnsi" w:hAnsiTheme="minorHAnsi" w:cs="Arial"/>
                <w:b/>
                <w:bCs/>
                <w:color w:val="000000"/>
                <w:sz w:val="18"/>
                <w:szCs w:val="18"/>
              </w:rPr>
              <w:t>.</w:t>
            </w:r>
            <w:r w:rsidR="009B0816">
              <w:rPr>
                <w:rFonts w:asciiTheme="minorHAnsi" w:hAnsiTheme="minorHAnsi" w:cs="Arial"/>
                <w:b/>
                <w:bCs/>
                <w:color w:val="000000"/>
                <w:sz w:val="18"/>
                <w:szCs w:val="18"/>
              </w:rPr>
              <w:t>12</w:t>
            </w:r>
            <w:r w:rsidR="00007252">
              <w:rPr>
                <w:rFonts w:asciiTheme="minorHAnsi" w:hAnsiTheme="minorHAnsi" w:cs="Arial"/>
                <w:b/>
                <w:bCs/>
                <w:color w:val="000000"/>
                <w:sz w:val="18"/>
                <w:szCs w:val="18"/>
              </w:rPr>
              <w:t>.20</w:t>
            </w:r>
            <w:r w:rsidR="00927EEE">
              <w:rPr>
                <w:rFonts w:asciiTheme="minorHAnsi" w:hAnsiTheme="minorHAnsi" w:cs="Arial"/>
                <w:b/>
                <w:bCs/>
                <w:color w:val="000000"/>
                <w:sz w:val="18"/>
                <w:szCs w:val="18"/>
              </w:rPr>
              <w:t>20</w:t>
            </w:r>
          </w:p>
          <w:p w14:paraId="302281FB" w14:textId="77777777" w:rsidR="00A55CE8" w:rsidRPr="008262CC" w:rsidRDefault="00A55CE8"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14:paraId="36E14497" w14:textId="5ACCE0F0" w:rsidR="00A55CE8" w:rsidRPr="008262CC" w:rsidRDefault="00A55CE8" w:rsidP="00AB55D3">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9B0816">
              <w:rPr>
                <w:rFonts w:asciiTheme="minorHAnsi" w:hAnsiTheme="minorHAnsi" w:cs="Arial"/>
                <w:b/>
                <w:bCs/>
                <w:color w:val="000000"/>
                <w:sz w:val="18"/>
                <w:szCs w:val="18"/>
              </w:rPr>
              <w:t>30.06.2020</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14:paraId="7B1121FE" w14:textId="05AC8098" w:rsidR="00A55CE8" w:rsidRPr="008262CC" w:rsidRDefault="00A55CE8" w:rsidP="009B0816">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D6033E">
              <w:rPr>
                <w:rFonts w:asciiTheme="minorHAnsi" w:hAnsiTheme="minorHAnsi" w:cs="Arial"/>
                <w:b/>
                <w:bCs/>
                <w:color w:val="000000"/>
                <w:sz w:val="18"/>
                <w:szCs w:val="18"/>
              </w:rPr>
              <w:t>3</w:t>
            </w:r>
            <w:r w:rsidR="009B0816">
              <w:rPr>
                <w:rFonts w:asciiTheme="minorHAnsi" w:hAnsiTheme="minorHAnsi" w:cs="Arial"/>
                <w:b/>
                <w:bCs/>
                <w:color w:val="000000"/>
                <w:sz w:val="18"/>
                <w:szCs w:val="18"/>
              </w:rPr>
              <w:t>1</w:t>
            </w:r>
            <w:r w:rsidR="00D6033E">
              <w:rPr>
                <w:rFonts w:asciiTheme="minorHAnsi" w:hAnsiTheme="minorHAnsi" w:cs="Arial"/>
                <w:b/>
                <w:bCs/>
                <w:color w:val="000000"/>
                <w:sz w:val="18"/>
                <w:szCs w:val="18"/>
              </w:rPr>
              <w:t>.</w:t>
            </w:r>
            <w:r w:rsidR="009B0816">
              <w:rPr>
                <w:rFonts w:asciiTheme="minorHAnsi" w:hAnsiTheme="minorHAnsi" w:cs="Arial"/>
                <w:b/>
                <w:bCs/>
                <w:color w:val="000000"/>
                <w:sz w:val="18"/>
                <w:szCs w:val="18"/>
              </w:rPr>
              <w:t>12</w:t>
            </w:r>
            <w:r w:rsidR="00D6033E">
              <w:rPr>
                <w:rFonts w:asciiTheme="minorHAnsi" w:hAnsiTheme="minorHAnsi" w:cs="Arial"/>
                <w:b/>
                <w:bCs/>
                <w:color w:val="000000"/>
                <w:sz w:val="18"/>
                <w:szCs w:val="18"/>
              </w:rPr>
              <w:t>.20</w:t>
            </w:r>
            <w:r w:rsidR="00927EEE">
              <w:rPr>
                <w:rFonts w:asciiTheme="minorHAnsi" w:hAnsiTheme="minorHAnsi" w:cs="Arial"/>
                <w:b/>
                <w:bCs/>
                <w:color w:val="000000"/>
                <w:sz w:val="18"/>
                <w:szCs w:val="18"/>
              </w:rPr>
              <w:t>20</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14:paraId="5B51FA38" w14:textId="6233BD42" w:rsidR="00A55CE8" w:rsidRPr="008262CC" w:rsidRDefault="00A55CE8" w:rsidP="009B0816">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sidR="00B67A03">
              <w:rPr>
                <w:rFonts w:asciiTheme="minorHAnsi" w:hAnsiTheme="minorHAnsi" w:cs="Arial"/>
                <w:b/>
                <w:bCs/>
                <w:color w:val="000000"/>
                <w:sz w:val="18"/>
                <w:szCs w:val="18"/>
              </w:rPr>
              <w:t>3</w:t>
            </w:r>
            <w:r w:rsidR="009B0816">
              <w:rPr>
                <w:rFonts w:asciiTheme="minorHAnsi" w:hAnsiTheme="minorHAnsi" w:cs="Arial"/>
                <w:b/>
                <w:bCs/>
                <w:color w:val="000000"/>
                <w:sz w:val="18"/>
                <w:szCs w:val="18"/>
              </w:rPr>
              <w:t>1</w:t>
            </w:r>
            <w:r w:rsidR="00B67A03">
              <w:rPr>
                <w:rFonts w:asciiTheme="minorHAnsi" w:hAnsiTheme="minorHAnsi" w:cs="Arial"/>
                <w:b/>
                <w:bCs/>
                <w:color w:val="000000"/>
                <w:sz w:val="18"/>
                <w:szCs w:val="18"/>
              </w:rPr>
              <w:t>.</w:t>
            </w:r>
            <w:r w:rsidR="009B0816">
              <w:rPr>
                <w:rFonts w:asciiTheme="minorHAnsi" w:hAnsiTheme="minorHAnsi" w:cs="Arial"/>
                <w:b/>
                <w:bCs/>
                <w:color w:val="000000"/>
                <w:sz w:val="18"/>
                <w:szCs w:val="18"/>
              </w:rPr>
              <w:t>12</w:t>
            </w:r>
            <w:r w:rsidR="00B67A03">
              <w:rPr>
                <w:rFonts w:asciiTheme="minorHAnsi" w:hAnsiTheme="minorHAnsi" w:cs="Arial"/>
                <w:b/>
                <w:bCs/>
                <w:color w:val="000000"/>
                <w:sz w:val="18"/>
                <w:szCs w:val="18"/>
              </w:rPr>
              <w:t>.</w:t>
            </w:r>
            <w:r w:rsidRPr="008262CC">
              <w:rPr>
                <w:rFonts w:asciiTheme="minorHAnsi" w:hAnsiTheme="minorHAnsi" w:cs="Arial"/>
                <w:b/>
                <w:bCs/>
                <w:color w:val="000000"/>
                <w:sz w:val="18"/>
                <w:szCs w:val="18"/>
              </w:rPr>
              <w:t>20</w:t>
            </w:r>
            <w:r w:rsidR="00031C6D">
              <w:rPr>
                <w:rFonts w:asciiTheme="minorHAnsi" w:hAnsiTheme="minorHAnsi" w:cs="Arial"/>
                <w:b/>
                <w:bCs/>
                <w:color w:val="000000"/>
                <w:sz w:val="18"/>
                <w:szCs w:val="18"/>
              </w:rPr>
              <w:t>2</w:t>
            </w:r>
            <w:r w:rsidR="00927EEE">
              <w:rPr>
                <w:rFonts w:asciiTheme="minorHAnsi" w:hAnsiTheme="minorHAnsi" w:cs="Arial"/>
                <w:b/>
                <w:bCs/>
                <w:color w:val="000000"/>
                <w:sz w:val="18"/>
                <w:szCs w:val="18"/>
              </w:rPr>
              <w:t>1</w:t>
            </w:r>
          </w:p>
        </w:tc>
      </w:tr>
      <w:tr w:rsidR="00E47D87" w:rsidRPr="008369BD" w14:paraId="2D5DC5AA" w14:textId="77777777" w:rsidTr="00A55CE8">
        <w:trPr>
          <w:trHeight w:val="543"/>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14:paraId="588FA581" w14:textId="77777777" w:rsidR="00E47D87" w:rsidRPr="008262CC" w:rsidRDefault="00E47D87" w:rsidP="00E47D87">
            <w:pPr>
              <w:rPr>
                <w:rFonts w:asciiTheme="minorHAnsi" w:hAnsiTheme="minorHAnsi" w:cs="Arial"/>
                <w:color w:val="000000"/>
                <w:sz w:val="18"/>
                <w:szCs w:val="18"/>
              </w:rPr>
            </w:pPr>
            <w:r>
              <w:rPr>
                <w:rFonts w:asciiTheme="minorHAnsi" w:hAnsiTheme="minorHAnsi" w:cs="Arial"/>
                <w:color w:val="000000"/>
                <w:sz w:val="18"/>
                <w:szCs w:val="18"/>
              </w:rPr>
              <w:t xml:space="preserve">PEGATRON Czech, s.r.o. </w:t>
            </w:r>
          </w:p>
        </w:tc>
        <w:tc>
          <w:tcPr>
            <w:tcW w:w="1985" w:type="dxa"/>
            <w:tcBorders>
              <w:top w:val="single" w:sz="12" w:space="0" w:color="auto"/>
              <w:left w:val="single" w:sz="12" w:space="0" w:color="auto"/>
              <w:bottom w:val="single" w:sz="4" w:space="0" w:color="auto"/>
              <w:right w:val="single" w:sz="8" w:space="0" w:color="auto"/>
            </w:tcBorders>
            <w:vAlign w:val="center"/>
          </w:tcPr>
          <w:p w14:paraId="19CD1ECE" w14:textId="12F57B4C" w:rsidR="00E47D87" w:rsidRPr="00AA0DD7" w:rsidRDefault="00E47D87" w:rsidP="00E47D87">
            <w:pPr>
              <w:jc w:val="center"/>
              <w:rPr>
                <w:rFonts w:asciiTheme="minorHAnsi" w:hAnsiTheme="minorHAnsi" w:cs="Arial"/>
                <w:bCs/>
                <w:sz w:val="18"/>
                <w:szCs w:val="18"/>
              </w:rPr>
            </w:pPr>
            <w:r w:rsidRPr="00AA0DD7">
              <w:rPr>
                <w:rFonts w:asciiTheme="minorHAnsi" w:hAnsiTheme="minorHAnsi" w:cs="Arial"/>
                <w:sz w:val="18"/>
                <w:szCs w:val="18"/>
              </w:rPr>
              <w:t>1</w:t>
            </w:r>
            <w:r w:rsidR="00AA0DD7" w:rsidRPr="00AA0DD7">
              <w:rPr>
                <w:rFonts w:asciiTheme="minorHAnsi" w:hAnsiTheme="minorHAnsi" w:cs="Arial"/>
                <w:sz w:val="18"/>
                <w:szCs w:val="18"/>
              </w:rPr>
              <w:t xml:space="preserve"> </w:t>
            </w:r>
            <w:r w:rsidRPr="00AA0DD7">
              <w:rPr>
                <w:rFonts w:asciiTheme="minorHAnsi" w:hAnsiTheme="minorHAnsi" w:cs="Arial"/>
                <w:sz w:val="18"/>
                <w:szCs w:val="18"/>
              </w:rPr>
              <w:t>262,44</w:t>
            </w:r>
          </w:p>
        </w:tc>
        <w:tc>
          <w:tcPr>
            <w:tcW w:w="2122" w:type="dxa"/>
            <w:tcBorders>
              <w:top w:val="single" w:sz="12" w:space="0" w:color="auto"/>
              <w:left w:val="single" w:sz="8" w:space="0" w:color="auto"/>
              <w:bottom w:val="single" w:sz="4" w:space="0" w:color="auto"/>
              <w:right w:val="single" w:sz="8" w:space="0" w:color="auto"/>
            </w:tcBorders>
            <w:vAlign w:val="center"/>
          </w:tcPr>
          <w:p w14:paraId="6D238F9D" w14:textId="37590685" w:rsidR="00E47D87" w:rsidRPr="00AA0DD7" w:rsidRDefault="00E47D87" w:rsidP="00AA0DD7">
            <w:pPr>
              <w:ind w:left="-208"/>
              <w:jc w:val="center"/>
              <w:rPr>
                <w:rFonts w:asciiTheme="minorHAnsi" w:hAnsiTheme="minorHAnsi" w:cs="Arial"/>
                <w:b/>
                <w:sz w:val="18"/>
                <w:szCs w:val="18"/>
              </w:rPr>
            </w:pPr>
            <w:r w:rsidRPr="00AA0DD7">
              <w:rPr>
                <w:rFonts w:asciiTheme="minorHAnsi" w:hAnsiTheme="minorHAnsi" w:cs="Arial"/>
                <w:b/>
                <w:sz w:val="18"/>
                <w:szCs w:val="18"/>
              </w:rPr>
              <w:t>1</w:t>
            </w:r>
            <w:r w:rsidR="00AA0DD7" w:rsidRPr="00AA0DD7">
              <w:rPr>
                <w:rFonts w:asciiTheme="minorHAnsi" w:hAnsiTheme="minorHAnsi" w:cs="Arial"/>
                <w:b/>
                <w:sz w:val="18"/>
                <w:szCs w:val="18"/>
              </w:rPr>
              <w:t xml:space="preserve"> </w:t>
            </w:r>
            <w:r w:rsidRPr="00AA0DD7">
              <w:rPr>
                <w:rFonts w:asciiTheme="minorHAnsi" w:hAnsiTheme="minorHAnsi" w:cs="Arial"/>
                <w:b/>
                <w:sz w:val="18"/>
                <w:szCs w:val="18"/>
              </w:rPr>
              <w:t>26</w:t>
            </w:r>
            <w:r w:rsidR="00AA0DD7" w:rsidRPr="00AA0DD7">
              <w:rPr>
                <w:rFonts w:asciiTheme="minorHAnsi" w:hAnsiTheme="minorHAnsi" w:cs="Arial"/>
                <w:b/>
                <w:sz w:val="18"/>
                <w:szCs w:val="18"/>
              </w:rPr>
              <w:t>3</w:t>
            </w:r>
            <w:r w:rsidRPr="00AA0DD7">
              <w:rPr>
                <w:rFonts w:asciiTheme="minorHAnsi" w:hAnsiTheme="minorHAnsi" w:cs="Arial"/>
                <w:b/>
                <w:sz w:val="18"/>
                <w:szCs w:val="18"/>
              </w:rPr>
              <w:t>,</w:t>
            </w:r>
            <w:r w:rsidR="00AA0DD7" w:rsidRPr="00AA0DD7">
              <w:rPr>
                <w:rFonts w:asciiTheme="minorHAnsi" w:hAnsiTheme="minorHAnsi" w:cs="Arial"/>
                <w:b/>
                <w:sz w:val="18"/>
                <w:szCs w:val="18"/>
              </w:rPr>
              <w:t>82</w:t>
            </w:r>
          </w:p>
        </w:tc>
        <w:tc>
          <w:tcPr>
            <w:tcW w:w="1426" w:type="dxa"/>
            <w:tcBorders>
              <w:top w:val="single" w:sz="12" w:space="0" w:color="auto"/>
              <w:left w:val="single" w:sz="8" w:space="0" w:color="auto"/>
              <w:bottom w:val="single" w:sz="4" w:space="0" w:color="auto"/>
              <w:right w:val="single" w:sz="8" w:space="0" w:color="auto"/>
            </w:tcBorders>
            <w:vAlign w:val="center"/>
          </w:tcPr>
          <w:p w14:paraId="08495E85" w14:textId="120E8973" w:rsidR="00E47D87" w:rsidRPr="00AA0DD7" w:rsidRDefault="00E47D87" w:rsidP="00E47D87">
            <w:pPr>
              <w:jc w:val="center"/>
              <w:rPr>
                <w:rFonts w:asciiTheme="minorHAnsi" w:hAnsiTheme="minorHAnsi" w:cs="Arial"/>
                <w:bCs/>
                <w:sz w:val="18"/>
                <w:szCs w:val="18"/>
                <w:lang w:val="en-US"/>
              </w:rPr>
            </w:pPr>
            <w:r w:rsidRPr="00AA0DD7">
              <w:rPr>
                <w:rFonts w:asciiTheme="minorHAnsi" w:hAnsiTheme="minorHAnsi" w:cs="Arial"/>
                <w:sz w:val="18"/>
                <w:szCs w:val="18"/>
                <w:lang w:val="en-US"/>
              </w:rPr>
              <w:t>685/391</w:t>
            </w:r>
          </w:p>
        </w:tc>
        <w:tc>
          <w:tcPr>
            <w:tcW w:w="1417" w:type="dxa"/>
            <w:tcBorders>
              <w:top w:val="single" w:sz="12" w:space="0" w:color="auto"/>
              <w:left w:val="single" w:sz="8" w:space="0" w:color="auto"/>
              <w:bottom w:val="single" w:sz="4" w:space="0" w:color="auto"/>
              <w:right w:val="single" w:sz="4" w:space="0" w:color="auto"/>
            </w:tcBorders>
            <w:vAlign w:val="center"/>
          </w:tcPr>
          <w:p w14:paraId="01BBB7C3" w14:textId="7A3EC260" w:rsidR="00E47D87" w:rsidRPr="00AA0DD7" w:rsidRDefault="00AA0DD7" w:rsidP="00E47D87">
            <w:pPr>
              <w:jc w:val="center"/>
              <w:rPr>
                <w:rFonts w:asciiTheme="minorHAnsi" w:hAnsiTheme="minorHAnsi" w:cs="Arial"/>
                <w:b/>
                <w:sz w:val="18"/>
                <w:szCs w:val="18"/>
                <w:lang w:val="en-US"/>
              </w:rPr>
            </w:pPr>
            <w:r w:rsidRPr="00AA0DD7">
              <w:rPr>
                <w:rFonts w:asciiTheme="minorHAnsi" w:hAnsiTheme="minorHAnsi" w:cs="Arial"/>
                <w:b/>
                <w:sz w:val="18"/>
                <w:szCs w:val="18"/>
                <w:lang w:val="en-US"/>
              </w:rPr>
              <w:t>967/612</w:t>
            </w:r>
          </w:p>
        </w:tc>
        <w:tc>
          <w:tcPr>
            <w:tcW w:w="1418" w:type="dxa"/>
            <w:tcBorders>
              <w:top w:val="single" w:sz="12" w:space="0" w:color="auto"/>
              <w:left w:val="nil"/>
              <w:bottom w:val="single" w:sz="4" w:space="0" w:color="auto"/>
              <w:right w:val="single" w:sz="8" w:space="0" w:color="auto"/>
            </w:tcBorders>
            <w:vAlign w:val="center"/>
          </w:tcPr>
          <w:p w14:paraId="19856419" w14:textId="11C52A92" w:rsidR="00E47D87" w:rsidRPr="00AA0DD7" w:rsidRDefault="00AA0DD7" w:rsidP="00E47D87">
            <w:pPr>
              <w:jc w:val="center"/>
              <w:rPr>
                <w:rFonts w:asciiTheme="minorHAnsi" w:hAnsiTheme="minorHAnsi" w:cs="Arial"/>
                <w:sz w:val="18"/>
                <w:szCs w:val="18"/>
                <w:lang w:val="en-US"/>
              </w:rPr>
            </w:pPr>
            <w:r w:rsidRPr="00AA0DD7">
              <w:rPr>
                <w:rFonts w:asciiTheme="minorHAnsi" w:hAnsiTheme="minorHAnsi" w:cs="Arial"/>
                <w:sz w:val="18"/>
                <w:szCs w:val="18"/>
                <w:lang w:val="en-US"/>
              </w:rPr>
              <w:t>1 100</w:t>
            </w:r>
          </w:p>
        </w:tc>
      </w:tr>
      <w:tr w:rsidR="00E47D87" w:rsidRPr="008369BD" w14:paraId="3408E5CC" w14:textId="77777777" w:rsidTr="00A55CE8">
        <w:trPr>
          <w:trHeight w:val="300"/>
          <w:jc w:val="center"/>
        </w:trPr>
        <w:tc>
          <w:tcPr>
            <w:tcW w:w="2268" w:type="dxa"/>
            <w:tcBorders>
              <w:top w:val="nil"/>
              <w:left w:val="single" w:sz="8" w:space="0" w:color="auto"/>
              <w:bottom w:val="single" w:sz="4" w:space="0" w:color="auto"/>
              <w:right w:val="single" w:sz="12" w:space="0" w:color="auto"/>
            </w:tcBorders>
            <w:vAlign w:val="center"/>
            <w:hideMark/>
          </w:tcPr>
          <w:p w14:paraId="0174C62E" w14:textId="77777777" w:rsidR="00E47D87" w:rsidRPr="008262CC" w:rsidRDefault="00E47D87" w:rsidP="00E47D87">
            <w:pPr>
              <w:rPr>
                <w:rFonts w:asciiTheme="minorHAnsi" w:hAnsiTheme="minorHAnsi" w:cs="Arial"/>
                <w:color w:val="000000"/>
                <w:sz w:val="18"/>
                <w:szCs w:val="18"/>
              </w:rPr>
            </w:pPr>
            <w:r>
              <w:rPr>
                <w:rFonts w:asciiTheme="minorHAnsi" w:hAnsiTheme="minorHAnsi" w:cs="Arial"/>
                <w:color w:val="000000"/>
                <w:sz w:val="18"/>
                <w:szCs w:val="18"/>
              </w:rPr>
              <w:t xml:space="preserve">CTP Invest, spol. s r.o. </w:t>
            </w:r>
          </w:p>
        </w:tc>
        <w:tc>
          <w:tcPr>
            <w:tcW w:w="1985" w:type="dxa"/>
            <w:tcBorders>
              <w:top w:val="nil"/>
              <w:left w:val="single" w:sz="12" w:space="0" w:color="auto"/>
              <w:bottom w:val="single" w:sz="4" w:space="0" w:color="auto"/>
              <w:right w:val="single" w:sz="8" w:space="0" w:color="auto"/>
            </w:tcBorders>
            <w:vAlign w:val="center"/>
          </w:tcPr>
          <w:p w14:paraId="77E387C2" w14:textId="05DA1799" w:rsidR="00E47D87" w:rsidRPr="00AA0DD7" w:rsidRDefault="00E47D87" w:rsidP="00E47D87">
            <w:pPr>
              <w:jc w:val="center"/>
              <w:rPr>
                <w:rFonts w:asciiTheme="minorHAnsi" w:hAnsiTheme="minorHAnsi" w:cs="Arial"/>
                <w:bCs/>
                <w:sz w:val="18"/>
                <w:szCs w:val="18"/>
              </w:rPr>
            </w:pPr>
            <w:r w:rsidRPr="00AA0DD7">
              <w:rPr>
                <w:rFonts w:asciiTheme="minorHAnsi" w:hAnsiTheme="minorHAnsi" w:cs="Arial"/>
                <w:sz w:val="18"/>
                <w:szCs w:val="18"/>
              </w:rPr>
              <w:t>7 700,00</w:t>
            </w:r>
          </w:p>
        </w:tc>
        <w:tc>
          <w:tcPr>
            <w:tcW w:w="2122" w:type="dxa"/>
            <w:tcBorders>
              <w:top w:val="nil"/>
              <w:left w:val="single" w:sz="8" w:space="0" w:color="auto"/>
              <w:bottom w:val="single" w:sz="4" w:space="0" w:color="auto"/>
              <w:right w:val="single" w:sz="8" w:space="0" w:color="auto"/>
            </w:tcBorders>
            <w:vAlign w:val="center"/>
          </w:tcPr>
          <w:p w14:paraId="6EDC0E64" w14:textId="72027CED" w:rsidR="00E47D87" w:rsidRPr="00AA0DD7" w:rsidRDefault="00AA0DD7" w:rsidP="00E47D87">
            <w:pPr>
              <w:ind w:left="-208"/>
              <w:jc w:val="center"/>
              <w:rPr>
                <w:rFonts w:asciiTheme="minorHAnsi" w:hAnsiTheme="minorHAnsi" w:cs="Arial"/>
                <w:b/>
                <w:sz w:val="18"/>
                <w:szCs w:val="18"/>
              </w:rPr>
            </w:pPr>
            <w:r w:rsidRPr="00AA0DD7">
              <w:rPr>
                <w:rFonts w:asciiTheme="minorHAnsi" w:hAnsiTheme="minorHAnsi" w:cs="Arial"/>
                <w:b/>
                <w:sz w:val="18"/>
                <w:szCs w:val="18"/>
              </w:rPr>
              <w:t>8 000</w:t>
            </w:r>
            <w:r w:rsidR="00E47D87" w:rsidRPr="00AA0DD7">
              <w:rPr>
                <w:rFonts w:asciiTheme="minorHAnsi" w:hAnsiTheme="minorHAnsi" w:cs="Arial"/>
                <w:b/>
                <w:sz w:val="18"/>
                <w:szCs w:val="18"/>
              </w:rPr>
              <w:t>,00</w:t>
            </w:r>
          </w:p>
        </w:tc>
        <w:tc>
          <w:tcPr>
            <w:tcW w:w="1426" w:type="dxa"/>
            <w:tcBorders>
              <w:top w:val="nil"/>
              <w:left w:val="single" w:sz="8" w:space="0" w:color="auto"/>
              <w:bottom w:val="single" w:sz="4" w:space="0" w:color="auto"/>
              <w:right w:val="single" w:sz="8" w:space="0" w:color="auto"/>
            </w:tcBorders>
            <w:vAlign w:val="center"/>
          </w:tcPr>
          <w:p w14:paraId="0B2113E2" w14:textId="07778259" w:rsidR="00E47D87" w:rsidRPr="00AA0DD7" w:rsidRDefault="00E47D87" w:rsidP="00E47D87">
            <w:pPr>
              <w:jc w:val="center"/>
              <w:rPr>
                <w:rFonts w:asciiTheme="minorHAnsi" w:hAnsiTheme="minorHAnsi" w:cs="Arial"/>
                <w:bCs/>
                <w:sz w:val="18"/>
                <w:szCs w:val="18"/>
              </w:rPr>
            </w:pPr>
            <w:r w:rsidRPr="00AA0DD7">
              <w:rPr>
                <w:rFonts w:asciiTheme="minorHAnsi" w:hAnsiTheme="minorHAnsi" w:cs="Arial"/>
                <w:sz w:val="18"/>
                <w:szCs w:val="18"/>
              </w:rPr>
              <w:t>6 100</w:t>
            </w:r>
          </w:p>
        </w:tc>
        <w:tc>
          <w:tcPr>
            <w:tcW w:w="1417" w:type="dxa"/>
            <w:tcBorders>
              <w:top w:val="nil"/>
              <w:left w:val="single" w:sz="8" w:space="0" w:color="auto"/>
              <w:bottom w:val="single" w:sz="4" w:space="0" w:color="auto"/>
              <w:right w:val="single" w:sz="4" w:space="0" w:color="auto"/>
            </w:tcBorders>
            <w:vAlign w:val="center"/>
          </w:tcPr>
          <w:p w14:paraId="0F047AD4" w14:textId="0951B3DE" w:rsidR="00E47D87" w:rsidRPr="00AA0DD7" w:rsidRDefault="00AA0DD7" w:rsidP="00E47D87">
            <w:pPr>
              <w:jc w:val="center"/>
              <w:rPr>
                <w:rFonts w:asciiTheme="minorHAnsi" w:hAnsiTheme="minorHAnsi" w:cs="Arial"/>
                <w:b/>
                <w:sz w:val="18"/>
                <w:szCs w:val="18"/>
              </w:rPr>
            </w:pPr>
            <w:r w:rsidRPr="00AA0DD7">
              <w:rPr>
                <w:rFonts w:asciiTheme="minorHAnsi" w:hAnsiTheme="minorHAnsi" w:cs="Arial"/>
                <w:b/>
                <w:sz w:val="18"/>
                <w:szCs w:val="18"/>
              </w:rPr>
              <w:t>6 500</w:t>
            </w:r>
          </w:p>
        </w:tc>
        <w:tc>
          <w:tcPr>
            <w:tcW w:w="1418" w:type="dxa"/>
            <w:tcBorders>
              <w:top w:val="nil"/>
              <w:left w:val="nil"/>
              <w:bottom w:val="single" w:sz="4" w:space="0" w:color="auto"/>
              <w:right w:val="single" w:sz="8" w:space="0" w:color="auto"/>
            </w:tcBorders>
            <w:vAlign w:val="center"/>
          </w:tcPr>
          <w:p w14:paraId="39E8D38F" w14:textId="77777777" w:rsidR="00E47D87" w:rsidRPr="00AA0DD7" w:rsidRDefault="00E47D87" w:rsidP="00E47D87">
            <w:pPr>
              <w:jc w:val="center"/>
              <w:rPr>
                <w:rFonts w:asciiTheme="minorHAnsi" w:hAnsiTheme="minorHAnsi" w:cs="Arial"/>
                <w:sz w:val="18"/>
                <w:szCs w:val="18"/>
              </w:rPr>
            </w:pPr>
            <w:r w:rsidRPr="00AA0DD7">
              <w:rPr>
                <w:rFonts w:asciiTheme="minorHAnsi" w:hAnsiTheme="minorHAnsi" w:cs="Arial"/>
                <w:sz w:val="18"/>
                <w:szCs w:val="18"/>
              </w:rPr>
              <w:t>7 000</w:t>
            </w:r>
          </w:p>
        </w:tc>
      </w:tr>
      <w:tr w:rsidR="00E47D87" w:rsidRPr="008262CC" w14:paraId="70030B33" w14:textId="77777777" w:rsidTr="00A55CE8">
        <w:trPr>
          <w:trHeight w:val="408"/>
          <w:jc w:val="center"/>
        </w:trPr>
        <w:tc>
          <w:tcPr>
            <w:tcW w:w="2268" w:type="dxa"/>
            <w:tcBorders>
              <w:top w:val="single" w:sz="4" w:space="0" w:color="auto"/>
              <w:left w:val="single" w:sz="8" w:space="0" w:color="auto"/>
              <w:bottom w:val="single" w:sz="8" w:space="0" w:color="auto"/>
              <w:right w:val="single" w:sz="12" w:space="0" w:color="auto"/>
            </w:tcBorders>
            <w:vAlign w:val="center"/>
          </w:tcPr>
          <w:p w14:paraId="54649C93" w14:textId="0F4C7F42" w:rsidR="00E47D87" w:rsidRPr="008262CC" w:rsidRDefault="00E47D87" w:rsidP="00E47D87">
            <w:pPr>
              <w:rPr>
                <w:rFonts w:asciiTheme="minorHAnsi" w:hAnsiTheme="minorHAnsi" w:cs="Arial"/>
                <w:color w:val="000000"/>
                <w:sz w:val="18"/>
                <w:szCs w:val="18"/>
              </w:rPr>
            </w:pPr>
            <w:proofErr w:type="spellStart"/>
            <w:r>
              <w:rPr>
                <w:rFonts w:asciiTheme="minorHAnsi" w:hAnsiTheme="minorHAnsi" w:cs="Arial"/>
                <w:color w:val="000000"/>
                <w:sz w:val="18"/>
                <w:szCs w:val="18"/>
              </w:rPr>
              <w:t>Sungwoo</w:t>
            </w:r>
            <w:proofErr w:type="spellEnd"/>
            <w:r>
              <w:rPr>
                <w:rFonts w:asciiTheme="minorHAnsi" w:hAnsiTheme="minorHAnsi" w:cs="Arial"/>
                <w:color w:val="000000"/>
                <w:sz w:val="18"/>
                <w:szCs w:val="18"/>
              </w:rPr>
              <w:t xml:space="preserve"> Hitech s.r.o. </w:t>
            </w:r>
          </w:p>
        </w:tc>
        <w:tc>
          <w:tcPr>
            <w:tcW w:w="1985" w:type="dxa"/>
            <w:tcBorders>
              <w:top w:val="single" w:sz="4" w:space="0" w:color="auto"/>
              <w:left w:val="single" w:sz="12" w:space="0" w:color="auto"/>
              <w:bottom w:val="single" w:sz="8" w:space="0" w:color="auto"/>
              <w:right w:val="single" w:sz="8" w:space="0" w:color="auto"/>
            </w:tcBorders>
            <w:vAlign w:val="center"/>
          </w:tcPr>
          <w:p w14:paraId="32D78899" w14:textId="059C176F" w:rsidR="00E47D87" w:rsidRPr="00414287" w:rsidRDefault="00E47D87" w:rsidP="00E47D87">
            <w:pPr>
              <w:jc w:val="center"/>
              <w:rPr>
                <w:rFonts w:asciiTheme="minorHAnsi" w:hAnsiTheme="minorHAnsi" w:cs="Arial"/>
                <w:bCs/>
                <w:sz w:val="18"/>
                <w:szCs w:val="18"/>
              </w:rPr>
            </w:pPr>
            <w:r w:rsidRPr="00414287">
              <w:rPr>
                <w:rFonts w:asciiTheme="minorHAnsi" w:hAnsiTheme="minorHAnsi" w:cs="Arial"/>
                <w:sz w:val="18"/>
                <w:szCs w:val="18"/>
              </w:rPr>
              <w:t>14 803,00</w:t>
            </w:r>
          </w:p>
        </w:tc>
        <w:tc>
          <w:tcPr>
            <w:tcW w:w="2122" w:type="dxa"/>
            <w:tcBorders>
              <w:top w:val="single" w:sz="4" w:space="0" w:color="auto"/>
              <w:left w:val="single" w:sz="8" w:space="0" w:color="auto"/>
              <w:bottom w:val="single" w:sz="8" w:space="0" w:color="auto"/>
              <w:right w:val="single" w:sz="8" w:space="0" w:color="auto"/>
            </w:tcBorders>
            <w:vAlign w:val="center"/>
          </w:tcPr>
          <w:p w14:paraId="11A01D37" w14:textId="4163B3A3" w:rsidR="00E47D87" w:rsidRPr="00414287" w:rsidRDefault="00E47D87" w:rsidP="00414287">
            <w:pPr>
              <w:ind w:left="-208"/>
              <w:jc w:val="center"/>
              <w:rPr>
                <w:rFonts w:asciiTheme="minorHAnsi" w:hAnsiTheme="minorHAnsi" w:cs="Arial"/>
                <w:b/>
                <w:sz w:val="18"/>
                <w:szCs w:val="18"/>
              </w:rPr>
            </w:pPr>
            <w:r w:rsidRPr="00414287">
              <w:rPr>
                <w:rFonts w:asciiTheme="minorHAnsi" w:hAnsiTheme="minorHAnsi" w:cs="Arial"/>
                <w:b/>
                <w:sz w:val="18"/>
                <w:szCs w:val="18"/>
              </w:rPr>
              <w:t>14 8</w:t>
            </w:r>
            <w:r w:rsidR="00414287" w:rsidRPr="00414287">
              <w:rPr>
                <w:rFonts w:asciiTheme="minorHAnsi" w:hAnsiTheme="minorHAnsi" w:cs="Arial"/>
                <w:b/>
                <w:sz w:val="18"/>
                <w:szCs w:val="18"/>
              </w:rPr>
              <w:t>6</w:t>
            </w:r>
            <w:r w:rsidRPr="00414287">
              <w:rPr>
                <w:rFonts w:asciiTheme="minorHAnsi" w:hAnsiTheme="minorHAnsi" w:cs="Arial"/>
                <w:b/>
                <w:sz w:val="18"/>
                <w:szCs w:val="18"/>
              </w:rPr>
              <w:t>3,00</w:t>
            </w:r>
          </w:p>
        </w:tc>
        <w:tc>
          <w:tcPr>
            <w:tcW w:w="1426" w:type="dxa"/>
            <w:tcBorders>
              <w:top w:val="single" w:sz="4" w:space="0" w:color="auto"/>
              <w:left w:val="single" w:sz="8" w:space="0" w:color="auto"/>
              <w:bottom w:val="single" w:sz="8" w:space="0" w:color="auto"/>
              <w:right w:val="single" w:sz="8" w:space="0" w:color="auto"/>
            </w:tcBorders>
            <w:vAlign w:val="center"/>
          </w:tcPr>
          <w:p w14:paraId="468D9355" w14:textId="664A936E" w:rsidR="00E47D87" w:rsidRPr="00414287" w:rsidRDefault="00E47D87" w:rsidP="00E47D87">
            <w:pPr>
              <w:jc w:val="center"/>
              <w:rPr>
                <w:rFonts w:asciiTheme="minorHAnsi" w:hAnsiTheme="minorHAnsi" w:cs="Arial"/>
                <w:bCs/>
                <w:sz w:val="18"/>
                <w:szCs w:val="18"/>
              </w:rPr>
            </w:pPr>
            <w:r w:rsidRPr="00414287">
              <w:rPr>
                <w:rFonts w:asciiTheme="minorHAnsi" w:hAnsiTheme="minorHAnsi" w:cs="Arial"/>
                <w:sz w:val="18"/>
                <w:szCs w:val="18"/>
              </w:rPr>
              <w:t>1627/32</w:t>
            </w:r>
          </w:p>
        </w:tc>
        <w:tc>
          <w:tcPr>
            <w:tcW w:w="1417" w:type="dxa"/>
            <w:tcBorders>
              <w:top w:val="single" w:sz="4" w:space="0" w:color="auto"/>
              <w:left w:val="single" w:sz="8" w:space="0" w:color="auto"/>
              <w:bottom w:val="single" w:sz="8" w:space="0" w:color="auto"/>
              <w:right w:val="single" w:sz="4" w:space="0" w:color="auto"/>
            </w:tcBorders>
            <w:vAlign w:val="center"/>
          </w:tcPr>
          <w:p w14:paraId="405A013D" w14:textId="3844C8F7" w:rsidR="00E47D87" w:rsidRPr="00414287" w:rsidRDefault="00414287" w:rsidP="00E47D87">
            <w:pPr>
              <w:jc w:val="center"/>
              <w:rPr>
                <w:rFonts w:asciiTheme="minorHAnsi" w:hAnsiTheme="minorHAnsi" w:cs="Arial"/>
                <w:b/>
                <w:sz w:val="18"/>
                <w:szCs w:val="18"/>
              </w:rPr>
            </w:pPr>
            <w:r w:rsidRPr="00414287">
              <w:rPr>
                <w:rFonts w:asciiTheme="minorHAnsi" w:hAnsiTheme="minorHAnsi" w:cs="Arial"/>
                <w:b/>
                <w:sz w:val="18"/>
                <w:szCs w:val="18"/>
              </w:rPr>
              <w:t>1 944/381</w:t>
            </w:r>
          </w:p>
        </w:tc>
        <w:tc>
          <w:tcPr>
            <w:tcW w:w="1418" w:type="dxa"/>
            <w:tcBorders>
              <w:top w:val="single" w:sz="4" w:space="0" w:color="auto"/>
              <w:left w:val="nil"/>
              <w:bottom w:val="single" w:sz="8" w:space="0" w:color="auto"/>
              <w:right w:val="single" w:sz="8" w:space="0" w:color="auto"/>
            </w:tcBorders>
            <w:vAlign w:val="center"/>
          </w:tcPr>
          <w:p w14:paraId="57EE6770" w14:textId="1209DF66" w:rsidR="00E47D87" w:rsidRPr="00414287" w:rsidRDefault="00414287" w:rsidP="00E47D87">
            <w:pPr>
              <w:jc w:val="center"/>
              <w:rPr>
                <w:rFonts w:asciiTheme="minorHAnsi" w:hAnsiTheme="minorHAnsi" w:cs="Arial"/>
                <w:sz w:val="18"/>
                <w:szCs w:val="18"/>
              </w:rPr>
            </w:pPr>
            <w:r w:rsidRPr="00414287">
              <w:rPr>
                <w:rFonts w:asciiTheme="minorHAnsi" w:hAnsiTheme="minorHAnsi" w:cs="Arial"/>
                <w:sz w:val="18"/>
                <w:szCs w:val="18"/>
              </w:rPr>
              <w:t>1 930/350</w:t>
            </w:r>
          </w:p>
        </w:tc>
      </w:tr>
      <w:tr w:rsidR="00E47D87" w:rsidRPr="00DA1D3B" w14:paraId="7DA3AEA8" w14:textId="77777777" w:rsidTr="00A55CE8">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14:paraId="3FD1A9B9" w14:textId="77777777" w:rsidR="00E47D87" w:rsidRPr="008262CC" w:rsidRDefault="00E47D87" w:rsidP="00E47D87">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14:paraId="69690455" w14:textId="1E7BA8D1" w:rsidR="00E47D87" w:rsidRPr="00E47D87" w:rsidRDefault="00E47D87" w:rsidP="00E47D87">
            <w:pPr>
              <w:jc w:val="center"/>
              <w:rPr>
                <w:rFonts w:asciiTheme="minorHAnsi" w:hAnsiTheme="minorHAnsi" w:cs="Arial"/>
                <w:bCs/>
                <w:color w:val="808080" w:themeColor="background1" w:themeShade="80"/>
                <w:sz w:val="18"/>
                <w:szCs w:val="18"/>
              </w:rPr>
            </w:pPr>
            <w:r w:rsidRPr="00E47D87">
              <w:rPr>
                <w:rFonts w:asciiTheme="minorHAnsi" w:hAnsiTheme="minorHAnsi" w:cs="Arial"/>
                <w:sz w:val="18"/>
                <w:szCs w:val="18"/>
              </w:rPr>
              <w:t>23 765,44</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14:paraId="7CD820D2" w14:textId="2905786B" w:rsidR="00E47D87" w:rsidRPr="00E47D87" w:rsidRDefault="00414287" w:rsidP="00E47D87">
            <w:pPr>
              <w:ind w:left="-208"/>
              <w:jc w:val="center"/>
              <w:rPr>
                <w:rFonts w:asciiTheme="minorHAnsi" w:hAnsiTheme="minorHAnsi" w:cs="Arial"/>
                <w:b/>
                <w:color w:val="C00000"/>
                <w:sz w:val="18"/>
                <w:szCs w:val="18"/>
              </w:rPr>
            </w:pPr>
            <w:r w:rsidRPr="00414287">
              <w:rPr>
                <w:rFonts w:asciiTheme="minorHAnsi" w:hAnsiTheme="minorHAnsi" w:cs="Arial"/>
                <w:b/>
                <w:sz w:val="18"/>
                <w:szCs w:val="18"/>
              </w:rPr>
              <w:t>24 126,82</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14:paraId="0A70005E" w14:textId="5F03CDEC" w:rsidR="00E47D87" w:rsidRPr="00E47D87" w:rsidRDefault="00E47D87" w:rsidP="00E47D87">
            <w:pPr>
              <w:jc w:val="center"/>
              <w:rPr>
                <w:rFonts w:asciiTheme="minorHAnsi" w:hAnsiTheme="minorHAnsi" w:cs="Arial"/>
                <w:bCs/>
                <w:color w:val="808080" w:themeColor="background1" w:themeShade="80"/>
                <w:sz w:val="18"/>
                <w:szCs w:val="18"/>
              </w:rPr>
            </w:pPr>
            <w:r w:rsidRPr="00E47D87">
              <w:rPr>
                <w:rFonts w:asciiTheme="minorHAnsi" w:hAnsiTheme="minorHAnsi" w:cs="Arial"/>
                <w:sz w:val="18"/>
                <w:szCs w:val="18"/>
              </w:rPr>
              <w:t>8 412</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14:paraId="05CAD52B" w14:textId="01EACE43" w:rsidR="00E47D87" w:rsidRPr="00E47D87" w:rsidRDefault="00414287" w:rsidP="00E47D87">
            <w:pPr>
              <w:jc w:val="center"/>
              <w:rPr>
                <w:rFonts w:asciiTheme="minorHAnsi" w:hAnsiTheme="minorHAnsi" w:cs="Arial"/>
                <w:b/>
                <w:color w:val="C00000"/>
                <w:sz w:val="18"/>
                <w:szCs w:val="18"/>
              </w:rPr>
            </w:pPr>
            <w:r w:rsidRPr="00414287">
              <w:rPr>
                <w:rFonts w:asciiTheme="minorHAnsi" w:hAnsiTheme="minorHAnsi" w:cs="Arial"/>
                <w:b/>
                <w:sz w:val="18"/>
                <w:szCs w:val="18"/>
              </w:rPr>
              <w:t>9 411</w:t>
            </w:r>
          </w:p>
        </w:tc>
        <w:tc>
          <w:tcPr>
            <w:tcW w:w="1418" w:type="dxa"/>
            <w:tcBorders>
              <w:top w:val="single" w:sz="12" w:space="0" w:color="auto"/>
              <w:left w:val="nil"/>
              <w:bottom w:val="single" w:sz="8" w:space="0" w:color="auto"/>
              <w:right w:val="single" w:sz="8" w:space="0" w:color="auto"/>
            </w:tcBorders>
            <w:shd w:val="clear" w:color="auto" w:fill="D9D9D9"/>
            <w:vAlign w:val="center"/>
          </w:tcPr>
          <w:p w14:paraId="51607CE1" w14:textId="65351A45" w:rsidR="00E47D87" w:rsidRPr="00E47D87" w:rsidRDefault="00E47D87" w:rsidP="00E20920">
            <w:pPr>
              <w:jc w:val="center"/>
              <w:rPr>
                <w:rFonts w:asciiTheme="minorHAnsi" w:hAnsiTheme="minorHAnsi" w:cs="Arial"/>
                <w:bCs/>
                <w:color w:val="C00000"/>
                <w:sz w:val="18"/>
                <w:szCs w:val="18"/>
              </w:rPr>
            </w:pPr>
            <w:r w:rsidRPr="00E20920">
              <w:rPr>
                <w:rFonts w:asciiTheme="minorHAnsi" w:hAnsiTheme="minorHAnsi" w:cs="Arial"/>
                <w:bCs/>
                <w:sz w:val="18"/>
                <w:szCs w:val="18"/>
              </w:rPr>
              <w:t xml:space="preserve">10 </w:t>
            </w:r>
            <w:r w:rsidR="00E20920" w:rsidRPr="00E20920">
              <w:rPr>
                <w:rFonts w:asciiTheme="minorHAnsi" w:hAnsiTheme="minorHAnsi" w:cs="Arial"/>
                <w:bCs/>
                <w:sz w:val="18"/>
                <w:szCs w:val="18"/>
              </w:rPr>
              <w:t>03</w:t>
            </w:r>
            <w:r w:rsidRPr="00E20920">
              <w:rPr>
                <w:rFonts w:asciiTheme="minorHAnsi" w:hAnsiTheme="minorHAnsi" w:cs="Arial"/>
                <w:bCs/>
                <w:sz w:val="18"/>
                <w:szCs w:val="18"/>
              </w:rPr>
              <w:t>0</w:t>
            </w:r>
          </w:p>
        </w:tc>
      </w:tr>
    </w:tbl>
    <w:p w14:paraId="0B706AF4" w14:textId="77777777" w:rsidR="004C4077" w:rsidRPr="008262CC" w:rsidRDefault="004C4077" w:rsidP="004C4077">
      <w:pPr>
        <w:pStyle w:val="Zkladntext"/>
        <w:spacing w:before="60"/>
        <w:rPr>
          <w:rFonts w:asciiTheme="minorHAnsi" w:hAnsiTheme="minorHAnsi" w:cs="Arial"/>
          <w:sz w:val="16"/>
          <w:szCs w:val="16"/>
        </w:rPr>
      </w:pPr>
      <w:r w:rsidRPr="008262CC">
        <w:rPr>
          <w:rFonts w:asciiTheme="minorHAnsi" w:hAnsiTheme="minorHAnsi" w:cs="Arial"/>
          <w:sz w:val="16"/>
          <w:szCs w:val="16"/>
        </w:rPr>
        <w:t>Zdroj: jednotliví investoři</w:t>
      </w:r>
    </w:p>
    <w:p w14:paraId="72C3D94C" w14:textId="4D43CD46" w:rsidR="00C46FA8" w:rsidRDefault="00C46FA8" w:rsidP="003619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2"/>
        </w:tabs>
        <w:jc w:val="both"/>
        <w:rPr>
          <w:rFonts w:asciiTheme="minorHAnsi" w:hAnsiTheme="minorHAnsi" w:cs="Arial"/>
          <w:sz w:val="16"/>
          <w:szCs w:val="16"/>
        </w:rPr>
      </w:pPr>
      <w:r w:rsidRPr="008262CC">
        <w:rPr>
          <w:rFonts w:asciiTheme="minorHAnsi" w:hAnsiTheme="minorHAnsi" w:cs="Arial"/>
          <w:sz w:val="16"/>
          <w:szCs w:val="16"/>
        </w:rPr>
        <w:t xml:space="preserve">* </w:t>
      </w:r>
      <w:r w:rsidRPr="008262CC">
        <w:rPr>
          <w:rFonts w:asciiTheme="minorHAnsi" w:hAnsiTheme="minorHAnsi" w:cs="Arial"/>
          <w:sz w:val="16"/>
          <w:szCs w:val="16"/>
        </w:rPr>
        <w:tab/>
      </w:r>
      <w:r>
        <w:rPr>
          <w:rFonts w:asciiTheme="minorHAnsi" w:hAnsiTheme="minorHAnsi" w:cs="Arial"/>
          <w:sz w:val="16"/>
          <w:szCs w:val="16"/>
        </w:rPr>
        <w:t xml:space="preserve">stav pracovních míst </w:t>
      </w:r>
      <w:r w:rsidR="00753677">
        <w:rPr>
          <w:rFonts w:asciiTheme="minorHAnsi" w:hAnsiTheme="minorHAnsi" w:cs="Arial"/>
          <w:sz w:val="16"/>
          <w:szCs w:val="16"/>
        </w:rPr>
        <w:t>–</w:t>
      </w:r>
      <w:r>
        <w:rPr>
          <w:rFonts w:asciiTheme="minorHAnsi" w:hAnsiTheme="minorHAnsi" w:cs="Arial"/>
          <w:sz w:val="16"/>
          <w:szCs w:val="16"/>
        </w:rPr>
        <w:t xml:space="preserve"> číslo za lomítkem vyčísluje počet agenturních zaměstnanců z celkového uvedeného počtu </w:t>
      </w:r>
      <w:r w:rsidR="00361971">
        <w:rPr>
          <w:rFonts w:asciiTheme="minorHAnsi" w:hAnsiTheme="minorHAnsi" w:cs="Arial"/>
          <w:sz w:val="16"/>
          <w:szCs w:val="16"/>
        </w:rPr>
        <w:tab/>
      </w:r>
    </w:p>
    <w:p w14:paraId="279B2497" w14:textId="77B72274" w:rsidR="004C4077" w:rsidRPr="00C46FA8" w:rsidRDefault="003A28A2" w:rsidP="00207613">
      <w:pPr>
        <w:spacing w:after="120"/>
        <w:jc w:val="both"/>
        <w:rPr>
          <w:rFonts w:asciiTheme="minorHAnsi" w:hAnsiTheme="minorHAnsi" w:cs="Arial"/>
          <w:sz w:val="16"/>
          <w:szCs w:val="16"/>
        </w:rPr>
      </w:pPr>
      <w:r>
        <w:rPr>
          <w:rFonts w:asciiTheme="minorHAnsi" w:hAnsiTheme="minorHAnsi" w:cs="Arial"/>
          <w:sz w:val="16"/>
          <w:szCs w:val="16"/>
        </w:rPr>
        <w:t xml:space="preserve"> </w:t>
      </w:r>
    </w:p>
    <w:p w14:paraId="05D77DD7" w14:textId="77777777" w:rsidR="00675A17" w:rsidRDefault="00CE57FC" w:rsidP="00D90A9D">
      <w:pPr>
        <w:pStyle w:val="Zkladntext"/>
        <w:numPr>
          <w:ilvl w:val="0"/>
          <w:numId w:val="2"/>
        </w:numPr>
        <w:spacing w:after="120"/>
        <w:ind w:left="284" w:hanging="284"/>
        <w:rPr>
          <w:rFonts w:asciiTheme="minorHAnsi" w:hAnsiTheme="minorHAnsi" w:cs="Arial"/>
          <w:sz w:val="20"/>
          <w:szCs w:val="20"/>
        </w:rPr>
      </w:pPr>
      <w:r w:rsidRPr="00675A17">
        <w:rPr>
          <w:rFonts w:asciiTheme="minorHAnsi" w:hAnsiTheme="minorHAnsi" w:cs="Arial"/>
          <w:sz w:val="20"/>
          <w:szCs w:val="20"/>
        </w:rPr>
        <w:t>rozloha</w:t>
      </w:r>
      <w:r w:rsidR="00882EC2" w:rsidRPr="00675A17">
        <w:rPr>
          <w:rFonts w:asciiTheme="minorHAnsi" w:hAnsiTheme="minorHAnsi" w:cs="Arial"/>
          <w:sz w:val="20"/>
          <w:szCs w:val="20"/>
        </w:rPr>
        <w:t xml:space="preserve"> 115 ha, </w:t>
      </w:r>
      <w:r w:rsidR="00222ECA" w:rsidRPr="00675A17">
        <w:rPr>
          <w:rFonts w:asciiTheme="minorHAnsi" w:hAnsiTheme="minorHAnsi" w:cs="Arial"/>
          <w:sz w:val="20"/>
          <w:szCs w:val="20"/>
        </w:rPr>
        <w:t>výstavba páteřní technické infrastruk</w:t>
      </w:r>
      <w:r w:rsidR="006971C4" w:rsidRPr="00675A17">
        <w:rPr>
          <w:rFonts w:asciiTheme="minorHAnsi" w:hAnsiTheme="minorHAnsi" w:cs="Arial"/>
          <w:sz w:val="20"/>
          <w:szCs w:val="20"/>
        </w:rPr>
        <w:t xml:space="preserve">tury, financovaná </w:t>
      </w:r>
      <w:r w:rsidRPr="00675A17">
        <w:rPr>
          <w:rFonts w:asciiTheme="minorHAnsi" w:hAnsiTheme="minorHAnsi" w:cs="Arial"/>
          <w:sz w:val="20"/>
          <w:szCs w:val="20"/>
        </w:rPr>
        <w:t>z prostředků statutárního města Ostravy a z prostředků státního rozpočtu formou dotace</w:t>
      </w:r>
      <w:r w:rsidR="006971C4" w:rsidRPr="00675A17">
        <w:rPr>
          <w:rFonts w:asciiTheme="minorHAnsi" w:hAnsiTheme="minorHAnsi" w:cs="Arial"/>
          <w:sz w:val="20"/>
          <w:szCs w:val="20"/>
        </w:rPr>
        <w:t>, byl</w:t>
      </w:r>
      <w:r w:rsidR="00022566" w:rsidRPr="00675A17">
        <w:rPr>
          <w:rFonts w:asciiTheme="minorHAnsi" w:hAnsiTheme="minorHAnsi" w:cs="Arial"/>
          <w:sz w:val="20"/>
          <w:szCs w:val="20"/>
        </w:rPr>
        <w:t xml:space="preserve">a dokončena v roce 2007; </w:t>
      </w:r>
    </w:p>
    <w:p w14:paraId="3703516F" w14:textId="0FBE12BE" w:rsidR="00080B66" w:rsidRPr="00675A17" w:rsidRDefault="00F305BF" w:rsidP="00B425ED">
      <w:pPr>
        <w:pStyle w:val="Zkladntext"/>
        <w:numPr>
          <w:ilvl w:val="0"/>
          <w:numId w:val="2"/>
        </w:numPr>
        <w:spacing w:after="120"/>
        <w:ind w:left="284" w:hanging="284"/>
        <w:rPr>
          <w:rFonts w:asciiTheme="minorHAnsi" w:hAnsiTheme="minorHAnsi" w:cs="Arial"/>
          <w:sz w:val="20"/>
          <w:szCs w:val="20"/>
        </w:rPr>
      </w:pPr>
      <w:r w:rsidRPr="00675A17">
        <w:rPr>
          <w:rFonts w:asciiTheme="minorHAnsi" w:hAnsiTheme="minorHAnsi" w:cs="Arial"/>
          <w:sz w:val="20"/>
          <w:szCs w:val="20"/>
        </w:rPr>
        <w:t>majoritním vlastníkem pozemků je developerská společnost CTP</w:t>
      </w:r>
      <w:r w:rsidR="000C7A0A" w:rsidRPr="00675A17">
        <w:rPr>
          <w:rFonts w:asciiTheme="minorHAnsi" w:hAnsiTheme="minorHAnsi" w:cs="Arial"/>
          <w:sz w:val="20"/>
          <w:szCs w:val="20"/>
        </w:rPr>
        <w:t xml:space="preserve"> (</w:t>
      </w:r>
      <w:proofErr w:type="spellStart"/>
      <w:r w:rsidR="000C7A0A" w:rsidRPr="00675A17">
        <w:rPr>
          <w:rFonts w:asciiTheme="minorHAnsi" w:hAnsiTheme="minorHAnsi" w:cs="Arial"/>
          <w:sz w:val="20"/>
          <w:szCs w:val="20"/>
        </w:rPr>
        <w:t>CTPark</w:t>
      </w:r>
      <w:proofErr w:type="spellEnd"/>
      <w:r w:rsidR="000C7A0A" w:rsidRPr="00675A17">
        <w:rPr>
          <w:rFonts w:asciiTheme="minorHAnsi" w:hAnsiTheme="minorHAnsi" w:cs="Arial"/>
          <w:sz w:val="20"/>
          <w:szCs w:val="20"/>
        </w:rPr>
        <w:t xml:space="preserve"> Ostrava)</w:t>
      </w:r>
      <w:r w:rsidR="00303DD2" w:rsidRPr="00675A17">
        <w:rPr>
          <w:rFonts w:asciiTheme="minorHAnsi" w:hAnsiTheme="minorHAnsi" w:cs="Arial"/>
          <w:sz w:val="20"/>
          <w:szCs w:val="20"/>
        </w:rPr>
        <w:t xml:space="preserve">, </w:t>
      </w:r>
      <w:r w:rsidR="0051331E" w:rsidRPr="00675A17">
        <w:rPr>
          <w:rFonts w:asciiTheme="minorHAnsi" w:hAnsiTheme="minorHAnsi" w:cs="Arial"/>
          <w:sz w:val="20"/>
          <w:szCs w:val="20"/>
        </w:rPr>
        <w:t>dále</w:t>
      </w:r>
      <w:r w:rsidRPr="00675A17">
        <w:rPr>
          <w:rFonts w:asciiTheme="minorHAnsi" w:hAnsiTheme="minorHAnsi" w:cs="Arial"/>
          <w:sz w:val="20"/>
          <w:szCs w:val="20"/>
        </w:rPr>
        <w:t xml:space="preserve"> </w:t>
      </w:r>
      <w:r w:rsidR="00303DD2" w:rsidRPr="00675A17">
        <w:rPr>
          <w:rFonts w:asciiTheme="minorHAnsi" w:hAnsiTheme="minorHAnsi" w:cs="Arial"/>
          <w:sz w:val="20"/>
          <w:szCs w:val="20"/>
        </w:rPr>
        <w:t xml:space="preserve">společnosti </w:t>
      </w:r>
      <w:r w:rsidR="00882EC2" w:rsidRPr="00675A17">
        <w:rPr>
          <w:rFonts w:asciiTheme="minorHAnsi" w:hAnsiTheme="minorHAnsi" w:cs="Arial"/>
          <w:sz w:val="20"/>
          <w:szCs w:val="20"/>
        </w:rPr>
        <w:t xml:space="preserve"> </w:t>
      </w:r>
      <w:proofErr w:type="spellStart"/>
      <w:r w:rsidR="00303DD2" w:rsidRPr="00675A17">
        <w:rPr>
          <w:rFonts w:asciiTheme="minorHAnsi" w:hAnsiTheme="minorHAnsi" w:cs="Arial"/>
          <w:sz w:val="20"/>
          <w:szCs w:val="20"/>
        </w:rPr>
        <w:t>Sungwoo</w:t>
      </w:r>
      <w:proofErr w:type="spellEnd"/>
      <w:r w:rsidR="00303DD2" w:rsidRPr="00675A17">
        <w:rPr>
          <w:rFonts w:asciiTheme="minorHAnsi" w:hAnsiTheme="minorHAnsi" w:cs="Arial"/>
          <w:sz w:val="20"/>
          <w:szCs w:val="20"/>
        </w:rPr>
        <w:t xml:space="preserve"> Hitech s. r. o.</w:t>
      </w:r>
      <w:r w:rsidRPr="00675A17">
        <w:rPr>
          <w:rFonts w:asciiTheme="minorHAnsi" w:hAnsiTheme="minorHAnsi" w:cs="Arial"/>
          <w:sz w:val="20"/>
          <w:szCs w:val="20"/>
        </w:rPr>
        <w:t xml:space="preserve"> (výrobce</w:t>
      </w:r>
      <w:r w:rsidR="00303DD2" w:rsidRPr="00675A17">
        <w:rPr>
          <w:rFonts w:asciiTheme="minorHAnsi" w:hAnsiTheme="minorHAnsi" w:cs="Arial"/>
          <w:sz w:val="20"/>
          <w:szCs w:val="20"/>
        </w:rPr>
        <w:t xml:space="preserve"> </w:t>
      </w:r>
      <w:r w:rsidRPr="00675A17">
        <w:rPr>
          <w:rFonts w:asciiTheme="minorHAnsi" w:hAnsiTheme="minorHAnsi" w:cs="Arial"/>
          <w:sz w:val="20"/>
          <w:szCs w:val="20"/>
        </w:rPr>
        <w:t>vnitřních ocelových částí pro osobní automobily)</w:t>
      </w:r>
      <w:r w:rsidR="00303DD2" w:rsidRPr="00675A17">
        <w:rPr>
          <w:rFonts w:asciiTheme="minorHAnsi" w:hAnsiTheme="minorHAnsi" w:cs="Arial"/>
          <w:sz w:val="20"/>
          <w:szCs w:val="20"/>
        </w:rPr>
        <w:t xml:space="preserve"> a PEGATRON CZECH, s. r. o. </w:t>
      </w:r>
      <w:r w:rsidR="003E7BED" w:rsidRPr="00675A17">
        <w:rPr>
          <w:rFonts w:asciiTheme="minorHAnsi" w:hAnsiTheme="minorHAnsi" w:cs="Arial"/>
          <w:sz w:val="20"/>
          <w:szCs w:val="20"/>
        </w:rPr>
        <w:t>(výrobce počítačových komponent)</w:t>
      </w:r>
      <w:r w:rsidR="00303DD2" w:rsidRPr="00675A17">
        <w:rPr>
          <w:rFonts w:asciiTheme="minorHAnsi" w:hAnsiTheme="minorHAnsi" w:cs="Arial"/>
          <w:sz w:val="20"/>
          <w:szCs w:val="20"/>
        </w:rPr>
        <w:t xml:space="preserve">. </w:t>
      </w:r>
      <w:r w:rsidR="00985C05">
        <w:rPr>
          <w:rFonts w:asciiTheme="minorHAnsi" w:hAnsiTheme="minorHAnsi"/>
          <w:b/>
          <w:sz w:val="20"/>
          <w:szCs w:val="20"/>
        </w:rPr>
        <w:t>Zmíněné společnosti umístěné v zóně proinvestovaly k 31. 12. 2020 částku 24,1 mld. Kč</w:t>
      </w:r>
      <w:r w:rsidR="00A67C2D" w:rsidRPr="00675A17">
        <w:rPr>
          <w:rFonts w:asciiTheme="minorHAnsi" w:hAnsiTheme="minorHAnsi"/>
          <w:b/>
          <w:sz w:val="20"/>
          <w:szCs w:val="20"/>
        </w:rPr>
        <w:t xml:space="preserve"> a </w:t>
      </w:r>
      <w:r w:rsidR="00B425ED">
        <w:rPr>
          <w:rFonts w:asciiTheme="minorHAnsi" w:hAnsiTheme="minorHAnsi"/>
          <w:b/>
          <w:sz w:val="20"/>
          <w:szCs w:val="20"/>
        </w:rPr>
        <w:br/>
      </w:r>
      <w:r w:rsidR="00974B7F" w:rsidRPr="00675A17">
        <w:rPr>
          <w:rFonts w:asciiTheme="minorHAnsi" w:hAnsiTheme="minorHAnsi"/>
          <w:b/>
          <w:sz w:val="20"/>
          <w:szCs w:val="20"/>
        </w:rPr>
        <w:t xml:space="preserve">ke stejnému datu </w:t>
      </w:r>
      <w:r w:rsidR="00985C05">
        <w:rPr>
          <w:rFonts w:asciiTheme="minorHAnsi" w:hAnsiTheme="minorHAnsi"/>
          <w:b/>
          <w:sz w:val="20"/>
          <w:szCs w:val="20"/>
        </w:rPr>
        <w:t>vytvořily</w:t>
      </w:r>
      <w:r w:rsidR="00974B7F" w:rsidRPr="00675A17">
        <w:rPr>
          <w:rFonts w:asciiTheme="minorHAnsi" w:hAnsiTheme="minorHAnsi"/>
          <w:b/>
          <w:sz w:val="20"/>
          <w:szCs w:val="20"/>
        </w:rPr>
        <w:t xml:space="preserve"> </w:t>
      </w:r>
      <w:r w:rsidR="00985C05">
        <w:rPr>
          <w:rFonts w:asciiTheme="minorHAnsi" w:hAnsiTheme="minorHAnsi"/>
          <w:b/>
          <w:sz w:val="20"/>
          <w:szCs w:val="20"/>
        </w:rPr>
        <w:t>9 411</w:t>
      </w:r>
      <w:r w:rsidR="00974B7F" w:rsidRPr="00675A17">
        <w:rPr>
          <w:rFonts w:asciiTheme="minorHAnsi" w:hAnsiTheme="minorHAnsi"/>
          <w:b/>
          <w:sz w:val="20"/>
          <w:szCs w:val="20"/>
        </w:rPr>
        <w:t xml:space="preserve"> pracovních míst</w:t>
      </w:r>
      <w:r w:rsidR="003E7BED" w:rsidRPr="00675A17">
        <w:rPr>
          <w:rFonts w:asciiTheme="minorHAnsi" w:hAnsiTheme="minorHAnsi"/>
          <w:sz w:val="20"/>
          <w:szCs w:val="20"/>
        </w:rPr>
        <w:t>;</w:t>
      </w:r>
      <w:r w:rsidR="00974B7F" w:rsidRPr="00675A17">
        <w:rPr>
          <w:rFonts w:asciiTheme="minorHAnsi" w:hAnsiTheme="minorHAnsi"/>
          <w:sz w:val="20"/>
          <w:szCs w:val="20"/>
        </w:rPr>
        <w:t xml:space="preserve"> </w:t>
      </w:r>
      <w:r w:rsidR="00985C05">
        <w:rPr>
          <w:rFonts w:asciiTheme="minorHAnsi" w:hAnsiTheme="minorHAnsi"/>
          <w:sz w:val="20"/>
          <w:szCs w:val="20"/>
        </w:rPr>
        <w:t xml:space="preserve">navzdory pandemické situaci došlo u všech společností </w:t>
      </w:r>
      <w:r w:rsidR="00051C8F">
        <w:rPr>
          <w:rFonts w:asciiTheme="minorHAnsi" w:hAnsiTheme="minorHAnsi"/>
          <w:sz w:val="20"/>
          <w:szCs w:val="20"/>
        </w:rPr>
        <w:br/>
      </w:r>
      <w:r w:rsidR="00985C05">
        <w:rPr>
          <w:rFonts w:asciiTheme="minorHAnsi" w:hAnsiTheme="minorHAnsi"/>
          <w:sz w:val="20"/>
          <w:szCs w:val="20"/>
        </w:rPr>
        <w:t xml:space="preserve">za uplynulé pololetí k nárůstu zaměstnanosti. </w:t>
      </w:r>
    </w:p>
    <w:p w14:paraId="1557EF3C" w14:textId="58B2AF09" w:rsidR="00246EB5" w:rsidRDefault="00246EB5" w:rsidP="00FB5E98">
      <w:pPr>
        <w:pStyle w:val="Zkladntext"/>
        <w:numPr>
          <w:ilvl w:val="0"/>
          <w:numId w:val="2"/>
        </w:numPr>
        <w:spacing w:after="120"/>
        <w:ind w:left="284" w:hanging="284"/>
        <w:jc w:val="left"/>
        <w:rPr>
          <w:rFonts w:asciiTheme="minorHAnsi" w:hAnsiTheme="minorHAnsi" w:cs="Arial"/>
          <w:sz w:val="20"/>
          <w:szCs w:val="20"/>
        </w:rPr>
      </w:pPr>
      <w:r w:rsidRPr="00246EB5">
        <w:rPr>
          <w:rFonts w:asciiTheme="minorHAnsi" w:hAnsiTheme="minorHAnsi" w:cs="Arial"/>
          <w:sz w:val="20"/>
          <w:szCs w:val="20"/>
        </w:rPr>
        <w:t xml:space="preserve">v rámci </w:t>
      </w:r>
      <w:proofErr w:type="spellStart"/>
      <w:r w:rsidRPr="00246EB5">
        <w:rPr>
          <w:rFonts w:asciiTheme="minorHAnsi" w:hAnsiTheme="minorHAnsi" w:cs="Arial"/>
          <w:sz w:val="20"/>
          <w:szCs w:val="20"/>
        </w:rPr>
        <w:t>CTParku</w:t>
      </w:r>
      <w:proofErr w:type="spellEnd"/>
      <w:r w:rsidRPr="00246EB5">
        <w:rPr>
          <w:rFonts w:asciiTheme="minorHAnsi" w:hAnsiTheme="minorHAnsi" w:cs="Arial"/>
          <w:sz w:val="20"/>
          <w:szCs w:val="20"/>
        </w:rPr>
        <w:t xml:space="preserve"> Ostrava </w:t>
      </w:r>
      <w:r w:rsidR="00985C05">
        <w:rPr>
          <w:rFonts w:asciiTheme="minorHAnsi" w:hAnsiTheme="minorHAnsi" w:cs="Arial"/>
          <w:sz w:val="20"/>
          <w:szCs w:val="20"/>
        </w:rPr>
        <w:t>byla dokončena</w:t>
      </w:r>
      <w:r w:rsidRPr="00246EB5">
        <w:rPr>
          <w:rFonts w:asciiTheme="minorHAnsi" w:hAnsiTheme="minorHAnsi" w:cs="Arial"/>
          <w:sz w:val="20"/>
          <w:szCs w:val="20"/>
        </w:rPr>
        <w:t xml:space="preserve"> výstavba haly O23</w:t>
      </w:r>
      <w:r w:rsidR="00454A1F">
        <w:rPr>
          <w:rFonts w:asciiTheme="minorHAnsi" w:hAnsiTheme="minorHAnsi" w:cs="Arial"/>
          <w:sz w:val="20"/>
          <w:szCs w:val="20"/>
        </w:rPr>
        <w:t xml:space="preserve"> o rozloze cca 50 000 </w:t>
      </w:r>
      <w:r w:rsidR="00454A1F" w:rsidRPr="00246EB5">
        <w:rPr>
          <w:rFonts w:asciiTheme="minorHAnsi" w:hAnsiTheme="minorHAnsi" w:cs="Arial"/>
          <w:sz w:val="20"/>
          <w:szCs w:val="20"/>
        </w:rPr>
        <w:t>m</w:t>
      </w:r>
      <w:r w:rsidR="00454A1F" w:rsidRPr="00246EB5">
        <w:rPr>
          <w:rFonts w:asciiTheme="minorHAnsi" w:hAnsiTheme="minorHAnsi" w:cs="Arial"/>
          <w:sz w:val="20"/>
          <w:szCs w:val="20"/>
          <w:vertAlign w:val="superscript"/>
        </w:rPr>
        <w:t>2</w:t>
      </w:r>
      <w:r w:rsidR="00FB5E98">
        <w:rPr>
          <w:rFonts w:asciiTheme="minorHAnsi" w:hAnsiTheme="minorHAnsi" w:cs="Arial"/>
          <w:sz w:val="20"/>
          <w:szCs w:val="20"/>
        </w:rPr>
        <w:t xml:space="preserve"> pro klienty</w:t>
      </w:r>
      <w:r w:rsidRPr="00246EB5">
        <w:rPr>
          <w:rFonts w:asciiTheme="minorHAnsi" w:hAnsiTheme="minorHAnsi" w:cs="Arial"/>
          <w:sz w:val="20"/>
          <w:szCs w:val="20"/>
        </w:rPr>
        <w:t xml:space="preserve"> </w:t>
      </w:r>
      <w:proofErr w:type="spellStart"/>
      <w:r w:rsidRPr="00246EB5">
        <w:rPr>
          <w:rFonts w:asciiTheme="minorHAnsi" w:hAnsiTheme="minorHAnsi" w:cs="Arial"/>
          <w:sz w:val="20"/>
          <w:szCs w:val="20"/>
        </w:rPr>
        <w:t>Brembo</w:t>
      </w:r>
      <w:proofErr w:type="spellEnd"/>
      <w:r w:rsidRPr="00246EB5">
        <w:rPr>
          <w:rFonts w:asciiTheme="minorHAnsi" w:hAnsiTheme="minorHAnsi" w:cs="Arial"/>
          <w:sz w:val="20"/>
          <w:szCs w:val="20"/>
        </w:rPr>
        <w:t xml:space="preserve"> a Hyundai Steel</w:t>
      </w:r>
      <w:r w:rsidR="006465FA">
        <w:rPr>
          <w:rFonts w:asciiTheme="minorHAnsi" w:hAnsiTheme="minorHAnsi" w:cs="Arial"/>
          <w:sz w:val="20"/>
          <w:szCs w:val="20"/>
        </w:rPr>
        <w:t xml:space="preserve"> Czech</w:t>
      </w:r>
      <w:r w:rsidRPr="00246EB5">
        <w:rPr>
          <w:rFonts w:asciiTheme="minorHAnsi" w:hAnsiTheme="minorHAnsi" w:cs="Arial"/>
          <w:sz w:val="20"/>
          <w:szCs w:val="20"/>
        </w:rPr>
        <w:t xml:space="preserve">; </w:t>
      </w:r>
      <w:r w:rsidR="00FB5E98">
        <w:rPr>
          <w:rFonts w:asciiTheme="minorHAnsi" w:hAnsiTheme="minorHAnsi" w:cs="Arial"/>
          <w:sz w:val="20"/>
          <w:szCs w:val="20"/>
        </w:rPr>
        <w:t>aktuálně je v rámci haly dostavována</w:t>
      </w:r>
      <w:r w:rsidRPr="00246EB5">
        <w:rPr>
          <w:rFonts w:asciiTheme="minorHAnsi" w:hAnsiTheme="minorHAnsi" w:cs="Arial"/>
          <w:sz w:val="20"/>
          <w:szCs w:val="20"/>
        </w:rPr>
        <w:t xml:space="preserve"> jednotka C o rozloze cca 3 500 m</w:t>
      </w:r>
      <w:r w:rsidRPr="00246EB5">
        <w:rPr>
          <w:rFonts w:asciiTheme="minorHAnsi" w:hAnsiTheme="minorHAnsi" w:cs="Arial"/>
          <w:sz w:val="20"/>
          <w:szCs w:val="20"/>
          <w:vertAlign w:val="superscript"/>
        </w:rPr>
        <w:t>2</w:t>
      </w:r>
      <w:r w:rsidR="00FB5E98">
        <w:rPr>
          <w:rFonts w:asciiTheme="minorHAnsi" w:hAnsiTheme="minorHAnsi" w:cs="Arial"/>
          <w:sz w:val="20"/>
          <w:szCs w:val="20"/>
        </w:rPr>
        <w:t xml:space="preserve"> pro klienta UPS, která bude předána v létě 2021, čímž dojde k plnému obsazení haly. </w:t>
      </w:r>
    </w:p>
    <w:p w14:paraId="69819774" w14:textId="68A053AA" w:rsidR="00D16C08" w:rsidRDefault="00172939" w:rsidP="00D90A9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j</w:t>
      </w:r>
      <w:r w:rsidR="00FB5E98">
        <w:rPr>
          <w:rFonts w:asciiTheme="minorHAnsi" w:hAnsiTheme="minorHAnsi" w:cs="Arial"/>
          <w:sz w:val="20"/>
          <w:szCs w:val="20"/>
        </w:rPr>
        <w:t xml:space="preserve">ednotky A1 a A2 </w:t>
      </w:r>
      <w:r w:rsidR="00D16C08">
        <w:rPr>
          <w:rFonts w:asciiTheme="minorHAnsi" w:hAnsiTheme="minorHAnsi" w:cs="Arial"/>
          <w:sz w:val="20"/>
          <w:szCs w:val="20"/>
        </w:rPr>
        <w:t xml:space="preserve">haly </w:t>
      </w:r>
      <w:r w:rsidR="00A0643A">
        <w:rPr>
          <w:rFonts w:asciiTheme="minorHAnsi" w:hAnsiTheme="minorHAnsi" w:cs="Arial"/>
          <w:sz w:val="20"/>
          <w:szCs w:val="20"/>
        </w:rPr>
        <w:t>O</w:t>
      </w:r>
      <w:r w:rsidR="00D16C08">
        <w:rPr>
          <w:rFonts w:asciiTheme="minorHAnsi" w:hAnsiTheme="minorHAnsi" w:cs="Arial"/>
          <w:sz w:val="20"/>
          <w:szCs w:val="20"/>
        </w:rPr>
        <w:t xml:space="preserve">26 o rozloze </w:t>
      </w:r>
      <w:r>
        <w:rPr>
          <w:rFonts w:asciiTheme="minorHAnsi" w:hAnsiTheme="minorHAnsi" w:cs="Arial"/>
          <w:sz w:val="20"/>
          <w:szCs w:val="20"/>
        </w:rPr>
        <w:t xml:space="preserve">cca </w:t>
      </w:r>
      <w:r w:rsidR="00D16C08">
        <w:rPr>
          <w:rFonts w:asciiTheme="minorHAnsi" w:hAnsiTheme="minorHAnsi" w:cs="Arial"/>
          <w:sz w:val="20"/>
          <w:szCs w:val="20"/>
        </w:rPr>
        <w:t>8 000 m</w:t>
      </w:r>
      <w:r w:rsidR="00D16C08">
        <w:rPr>
          <w:rFonts w:asciiTheme="minorHAnsi" w:hAnsiTheme="minorHAnsi" w:cs="Arial"/>
          <w:sz w:val="20"/>
          <w:szCs w:val="20"/>
          <w:vertAlign w:val="superscript"/>
        </w:rPr>
        <w:t>2</w:t>
      </w:r>
      <w:r w:rsidR="002A4D72">
        <w:rPr>
          <w:rFonts w:asciiTheme="minorHAnsi" w:hAnsiTheme="minorHAnsi" w:cs="Arial"/>
          <w:sz w:val="20"/>
          <w:szCs w:val="20"/>
        </w:rPr>
        <w:t xml:space="preserve"> </w:t>
      </w:r>
      <w:r>
        <w:rPr>
          <w:rFonts w:asciiTheme="minorHAnsi" w:hAnsiTheme="minorHAnsi" w:cs="Arial"/>
          <w:sz w:val="20"/>
          <w:szCs w:val="20"/>
        </w:rPr>
        <w:t>jsou téměř dokončeny</w:t>
      </w:r>
      <w:r w:rsidR="00D16C08">
        <w:rPr>
          <w:rFonts w:asciiTheme="minorHAnsi" w:hAnsiTheme="minorHAnsi" w:cs="Arial"/>
          <w:sz w:val="20"/>
          <w:szCs w:val="20"/>
        </w:rPr>
        <w:t xml:space="preserve">, </w:t>
      </w:r>
      <w:r>
        <w:rPr>
          <w:rFonts w:asciiTheme="minorHAnsi" w:hAnsiTheme="minorHAnsi" w:cs="Arial"/>
          <w:sz w:val="20"/>
          <w:szCs w:val="20"/>
        </w:rPr>
        <w:t xml:space="preserve">jedna z částí byla předána klientovi Škoda Vagonka, druhá část bude budoucímu nájemci </w:t>
      </w:r>
      <w:proofErr w:type="spellStart"/>
      <w:r>
        <w:rPr>
          <w:rFonts w:asciiTheme="minorHAnsi" w:hAnsiTheme="minorHAnsi" w:cs="Arial"/>
          <w:sz w:val="20"/>
          <w:szCs w:val="20"/>
        </w:rPr>
        <w:t>Rubix</w:t>
      </w:r>
      <w:proofErr w:type="spellEnd"/>
      <w:r>
        <w:rPr>
          <w:rFonts w:asciiTheme="minorHAnsi" w:hAnsiTheme="minorHAnsi" w:cs="Arial"/>
          <w:sz w:val="20"/>
          <w:szCs w:val="20"/>
        </w:rPr>
        <w:t xml:space="preserve"> Czech k předání v dubnu 2021</w:t>
      </w:r>
      <w:r w:rsidR="00D16C08">
        <w:rPr>
          <w:rFonts w:asciiTheme="minorHAnsi" w:hAnsiTheme="minorHAnsi" w:cs="Arial"/>
          <w:sz w:val="20"/>
          <w:szCs w:val="20"/>
        </w:rPr>
        <w:t xml:space="preserve">. </w:t>
      </w:r>
    </w:p>
    <w:p w14:paraId="2B9C21FF" w14:textId="2C5C329E" w:rsidR="007804C0" w:rsidRDefault="00FD742B" w:rsidP="00D90A9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park je tímto plně zastavěn, zůstává rezerva na dvě extenze stávajících budov O3 a O8 a administrativní budovu </w:t>
      </w:r>
      <w:proofErr w:type="spellStart"/>
      <w:r>
        <w:rPr>
          <w:rFonts w:asciiTheme="minorHAnsi" w:hAnsiTheme="minorHAnsi" w:cs="Arial"/>
          <w:sz w:val="20"/>
          <w:szCs w:val="20"/>
        </w:rPr>
        <w:t>CTOffice</w:t>
      </w:r>
      <w:proofErr w:type="spellEnd"/>
      <w:r>
        <w:rPr>
          <w:rFonts w:asciiTheme="minorHAnsi" w:hAnsiTheme="minorHAnsi" w:cs="Arial"/>
          <w:sz w:val="20"/>
          <w:szCs w:val="20"/>
        </w:rPr>
        <w:t xml:space="preserve"> E</w:t>
      </w:r>
      <w:r w:rsidR="00D16C08">
        <w:rPr>
          <w:rFonts w:asciiTheme="minorHAnsi" w:hAnsiTheme="minorHAnsi" w:cs="Arial"/>
          <w:sz w:val="20"/>
          <w:szCs w:val="20"/>
        </w:rPr>
        <w:t xml:space="preserve">. </w:t>
      </w:r>
      <w:r>
        <w:rPr>
          <w:rFonts w:asciiTheme="minorHAnsi" w:hAnsiTheme="minorHAnsi" w:cs="Arial"/>
          <w:sz w:val="20"/>
          <w:szCs w:val="20"/>
        </w:rPr>
        <w:t xml:space="preserve">Probíhají úspěšné </w:t>
      </w:r>
      <w:proofErr w:type="spellStart"/>
      <w:r>
        <w:rPr>
          <w:rFonts w:asciiTheme="minorHAnsi" w:hAnsiTheme="minorHAnsi" w:cs="Arial"/>
          <w:sz w:val="20"/>
          <w:szCs w:val="20"/>
        </w:rPr>
        <w:t>renegociace</w:t>
      </w:r>
      <w:proofErr w:type="spellEnd"/>
      <w:r>
        <w:rPr>
          <w:rFonts w:asciiTheme="minorHAnsi" w:hAnsiTheme="minorHAnsi" w:cs="Arial"/>
          <w:sz w:val="20"/>
          <w:szCs w:val="20"/>
        </w:rPr>
        <w:t xml:space="preserve"> se stávajícími klienty, aktuální obsazenost činí 98%. </w:t>
      </w:r>
      <w:r w:rsidR="002A4D72" w:rsidRPr="0042710B">
        <w:rPr>
          <w:rFonts w:asciiTheme="minorHAnsi" w:hAnsiTheme="minorHAnsi" w:cs="Arial"/>
          <w:sz w:val="20"/>
          <w:szCs w:val="20"/>
        </w:rPr>
        <w:t xml:space="preserve">Situační plánek </w:t>
      </w:r>
      <w:proofErr w:type="spellStart"/>
      <w:r w:rsidR="002A4D72" w:rsidRPr="0042710B">
        <w:rPr>
          <w:rFonts w:asciiTheme="minorHAnsi" w:hAnsiTheme="minorHAnsi" w:cs="Arial"/>
          <w:sz w:val="20"/>
          <w:szCs w:val="20"/>
        </w:rPr>
        <w:t>CTParku</w:t>
      </w:r>
      <w:proofErr w:type="spellEnd"/>
      <w:r w:rsidR="002A4D72" w:rsidRPr="0042710B">
        <w:rPr>
          <w:rFonts w:asciiTheme="minorHAnsi" w:hAnsiTheme="minorHAnsi" w:cs="Arial"/>
          <w:sz w:val="20"/>
          <w:szCs w:val="20"/>
        </w:rPr>
        <w:t xml:space="preserve"> je součástí příloh</w:t>
      </w:r>
      <w:r w:rsidR="00034598">
        <w:rPr>
          <w:rFonts w:asciiTheme="minorHAnsi" w:hAnsiTheme="minorHAnsi" w:cs="Arial"/>
          <w:sz w:val="20"/>
          <w:szCs w:val="20"/>
        </w:rPr>
        <w:t xml:space="preserve"> tohoto materiálu (Příloha č. 1). </w:t>
      </w:r>
    </w:p>
    <w:p w14:paraId="0B1B1031" w14:textId="3EF14B4D" w:rsidR="008F17FA" w:rsidRPr="00246EB5" w:rsidRDefault="008F17FA" w:rsidP="00D90A9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společnost </w:t>
      </w:r>
      <w:proofErr w:type="spellStart"/>
      <w:r>
        <w:rPr>
          <w:rFonts w:asciiTheme="minorHAnsi" w:hAnsiTheme="minorHAnsi" w:cs="Arial"/>
          <w:sz w:val="20"/>
          <w:szCs w:val="20"/>
        </w:rPr>
        <w:t>Sungwoo</w:t>
      </w:r>
      <w:proofErr w:type="spellEnd"/>
      <w:r>
        <w:rPr>
          <w:rFonts w:asciiTheme="minorHAnsi" w:hAnsiTheme="minorHAnsi" w:cs="Arial"/>
          <w:sz w:val="20"/>
          <w:szCs w:val="20"/>
        </w:rPr>
        <w:t xml:space="preserve"> Hitech zahájila v průběhu II. pol. r. 2020 výrobu nového modelu TUCSON (Plug-in Hybrid) a výrobu za využití nové technologie tzv. „Hot </w:t>
      </w:r>
      <w:proofErr w:type="spellStart"/>
      <w:r>
        <w:rPr>
          <w:rFonts w:asciiTheme="minorHAnsi" w:hAnsiTheme="minorHAnsi" w:cs="Arial"/>
          <w:sz w:val="20"/>
          <w:szCs w:val="20"/>
        </w:rPr>
        <w:t>Stamping</w:t>
      </w:r>
      <w:proofErr w:type="spellEnd"/>
      <w:r>
        <w:rPr>
          <w:rFonts w:asciiTheme="minorHAnsi" w:hAnsiTheme="minorHAnsi" w:cs="Arial"/>
          <w:sz w:val="20"/>
          <w:szCs w:val="20"/>
        </w:rPr>
        <w:t xml:space="preserve">“ (lisování za tepla a řezání materiálu laserem), vše v nových prostorách areálu CTP. Rovněž rozvoj společnosti PEGATRON nebyl zásadně ovlivněn probíhající pandemií, a díky novým příležitostem a projektům společnost vytvořila téměř 300 nových pracovních míst. </w:t>
      </w:r>
    </w:p>
    <w:p w14:paraId="1FD0F9D9" w14:textId="77777777" w:rsidR="00345E13" w:rsidRDefault="00345E13" w:rsidP="00345E13">
      <w:pPr>
        <w:pStyle w:val="Zkladntext"/>
        <w:spacing w:after="120"/>
        <w:rPr>
          <w:rFonts w:asciiTheme="minorHAnsi" w:hAnsiTheme="minorHAnsi" w:cs="Arial"/>
          <w:sz w:val="20"/>
          <w:szCs w:val="20"/>
        </w:rPr>
      </w:pPr>
    </w:p>
    <w:p w14:paraId="3BE0D44F" w14:textId="4BB511F0" w:rsidR="00A305C6" w:rsidRPr="008262CC" w:rsidRDefault="00A305C6" w:rsidP="00CD3CDF">
      <w:pPr>
        <w:pStyle w:val="Zkladntext"/>
        <w:numPr>
          <w:ilvl w:val="0"/>
          <w:numId w:val="1"/>
        </w:numPr>
        <w:spacing w:after="120"/>
        <w:jc w:val="left"/>
        <w:rPr>
          <w:rFonts w:asciiTheme="minorHAnsi" w:hAnsiTheme="minorHAnsi" w:cs="Arial"/>
          <w:b/>
          <w:sz w:val="22"/>
          <w:szCs w:val="22"/>
        </w:rPr>
      </w:pPr>
      <w:r w:rsidRPr="008262CC">
        <w:rPr>
          <w:rFonts w:asciiTheme="minorHAnsi" w:hAnsiTheme="minorHAnsi" w:cs="Arial"/>
          <w:b/>
          <w:sz w:val="22"/>
          <w:szCs w:val="22"/>
        </w:rPr>
        <w:lastRenderedPageBreak/>
        <w:t>Strategick</w:t>
      </w:r>
      <w:r w:rsidR="002D4A15" w:rsidRPr="008262CC">
        <w:rPr>
          <w:rFonts w:asciiTheme="minorHAnsi" w:hAnsiTheme="minorHAnsi" w:cs="Arial"/>
          <w:b/>
          <w:sz w:val="22"/>
          <w:szCs w:val="22"/>
        </w:rPr>
        <w:t>á</w:t>
      </w:r>
      <w:r w:rsidRPr="008262CC">
        <w:rPr>
          <w:rFonts w:asciiTheme="minorHAnsi" w:hAnsiTheme="minorHAnsi" w:cs="Arial"/>
          <w:b/>
          <w:sz w:val="22"/>
          <w:szCs w:val="22"/>
        </w:rPr>
        <w:t xml:space="preserve"> průmyslov</w:t>
      </w:r>
      <w:r w:rsidR="002D4A15" w:rsidRPr="008262CC">
        <w:rPr>
          <w:rFonts w:asciiTheme="minorHAnsi" w:hAnsiTheme="minorHAnsi" w:cs="Arial"/>
          <w:b/>
          <w:sz w:val="22"/>
          <w:szCs w:val="22"/>
        </w:rPr>
        <w:t>á</w:t>
      </w:r>
      <w:r w:rsidRPr="008262CC">
        <w:rPr>
          <w:rFonts w:asciiTheme="minorHAnsi" w:hAnsiTheme="minorHAnsi" w:cs="Arial"/>
          <w:b/>
          <w:sz w:val="22"/>
          <w:szCs w:val="22"/>
        </w:rPr>
        <w:t xml:space="preserve"> zón</w:t>
      </w:r>
      <w:r w:rsidR="002D4A15" w:rsidRPr="008262CC">
        <w:rPr>
          <w:rFonts w:asciiTheme="minorHAnsi" w:hAnsiTheme="minorHAnsi" w:cs="Arial"/>
          <w:b/>
          <w:sz w:val="22"/>
          <w:szCs w:val="22"/>
        </w:rPr>
        <w:t>a</w:t>
      </w:r>
      <w:r w:rsidRPr="008262CC">
        <w:rPr>
          <w:rFonts w:asciiTheme="minorHAnsi" w:hAnsiTheme="minorHAnsi" w:cs="Arial"/>
          <w:b/>
          <w:sz w:val="22"/>
          <w:szCs w:val="22"/>
        </w:rPr>
        <w:t xml:space="preserve"> Ostrava-Mošnov </w:t>
      </w: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BA6E97" w:rsidRPr="008262CC" w14:paraId="6A31E4BF" w14:textId="77777777" w:rsidTr="00BA6E97">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14:paraId="3B3DB9DC" w14:textId="77777777" w:rsidR="00BA6E97" w:rsidRPr="008262CC" w:rsidRDefault="00BA6E97"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Název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14:paraId="4A0FFA9F" w14:textId="70AE0EE6" w:rsidR="00BA6E97" w:rsidRDefault="00BA6E97"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investora </w:t>
            </w:r>
            <w:r w:rsidRPr="008262CC">
              <w:rPr>
                <w:rFonts w:asciiTheme="minorHAnsi" w:hAnsiTheme="minorHAnsi" w:cs="Arial"/>
                <w:b/>
                <w:bCs/>
                <w:color w:val="000000"/>
                <w:sz w:val="18"/>
                <w:szCs w:val="18"/>
              </w:rPr>
              <w:t xml:space="preserve">k </w:t>
            </w:r>
            <w:r w:rsidR="005E40B7">
              <w:rPr>
                <w:rFonts w:asciiTheme="minorHAnsi" w:hAnsiTheme="minorHAnsi" w:cs="Arial"/>
                <w:b/>
                <w:bCs/>
                <w:color w:val="000000"/>
                <w:sz w:val="18"/>
                <w:szCs w:val="18"/>
              </w:rPr>
              <w:t>30</w:t>
            </w:r>
            <w:r w:rsidR="005E40B7"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06</w:t>
            </w:r>
            <w:r w:rsidR="005E40B7"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2020</w:t>
            </w:r>
          </w:p>
          <w:p w14:paraId="620E8D76" w14:textId="77777777" w:rsidR="00BA6E97" w:rsidRPr="008262CC" w:rsidRDefault="00BA6E97"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14:paraId="6355D0B1" w14:textId="5E76DCF7" w:rsidR="00BA6E97" w:rsidRDefault="00BA6E97"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investora </w:t>
            </w:r>
            <w:r w:rsidRPr="008262CC">
              <w:rPr>
                <w:rFonts w:asciiTheme="minorHAnsi" w:hAnsiTheme="minorHAnsi" w:cs="Arial"/>
                <w:b/>
                <w:bCs/>
                <w:color w:val="000000"/>
                <w:sz w:val="18"/>
                <w:szCs w:val="18"/>
              </w:rPr>
              <w:t xml:space="preserve">k </w:t>
            </w:r>
            <w:r w:rsidR="0099525E">
              <w:rPr>
                <w:rFonts w:asciiTheme="minorHAnsi" w:hAnsiTheme="minorHAnsi" w:cs="Arial"/>
                <w:b/>
                <w:bCs/>
                <w:color w:val="000000"/>
                <w:sz w:val="18"/>
                <w:szCs w:val="18"/>
              </w:rPr>
              <w:t>3</w:t>
            </w:r>
            <w:r w:rsidR="005E40B7">
              <w:rPr>
                <w:rFonts w:asciiTheme="minorHAnsi" w:hAnsiTheme="minorHAnsi" w:cs="Arial"/>
                <w:b/>
                <w:bCs/>
                <w:color w:val="000000"/>
                <w:sz w:val="18"/>
                <w:szCs w:val="18"/>
              </w:rPr>
              <w:t>1</w:t>
            </w:r>
            <w:r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12</w:t>
            </w:r>
            <w:r w:rsidRPr="008262CC">
              <w:rPr>
                <w:rFonts w:asciiTheme="minorHAnsi" w:hAnsiTheme="minorHAnsi" w:cs="Arial"/>
                <w:b/>
                <w:bCs/>
                <w:color w:val="000000"/>
                <w:sz w:val="18"/>
                <w:szCs w:val="18"/>
              </w:rPr>
              <w:t>.</w:t>
            </w:r>
            <w:r w:rsidR="00527ACF">
              <w:rPr>
                <w:rFonts w:asciiTheme="minorHAnsi" w:hAnsiTheme="minorHAnsi" w:cs="Arial"/>
                <w:b/>
                <w:bCs/>
                <w:color w:val="000000"/>
                <w:sz w:val="18"/>
                <w:szCs w:val="18"/>
              </w:rPr>
              <w:t>2020</w:t>
            </w:r>
          </w:p>
          <w:p w14:paraId="6E33F48F" w14:textId="77777777" w:rsidR="00BA6E97" w:rsidRPr="008262CC" w:rsidRDefault="00BA6E97"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14:paraId="5A39FF1E" w14:textId="4010C3A3" w:rsidR="00BA6E97" w:rsidRPr="008262CC" w:rsidRDefault="00BA6E97" w:rsidP="00A47E94">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5E40B7">
              <w:rPr>
                <w:rFonts w:asciiTheme="minorHAnsi" w:hAnsiTheme="minorHAnsi" w:cs="Arial"/>
                <w:b/>
                <w:bCs/>
                <w:color w:val="000000"/>
                <w:sz w:val="18"/>
                <w:szCs w:val="18"/>
              </w:rPr>
              <w:t>30</w:t>
            </w:r>
            <w:r w:rsidR="005E40B7"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06</w:t>
            </w:r>
            <w:r w:rsidR="005E40B7" w:rsidRPr="008262CC">
              <w:rPr>
                <w:rFonts w:asciiTheme="minorHAnsi" w:hAnsiTheme="minorHAnsi" w:cs="Arial"/>
                <w:b/>
                <w:bCs/>
                <w:color w:val="000000"/>
                <w:sz w:val="18"/>
                <w:szCs w:val="18"/>
              </w:rPr>
              <w:t>.20</w:t>
            </w:r>
            <w:r w:rsidR="005E40B7">
              <w:rPr>
                <w:rFonts w:asciiTheme="minorHAnsi" w:hAnsiTheme="minorHAnsi" w:cs="Arial"/>
                <w:b/>
                <w:bCs/>
                <w:color w:val="000000"/>
                <w:sz w:val="18"/>
                <w:szCs w:val="18"/>
              </w:rPr>
              <w:t>20</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14:paraId="7DFD14C3" w14:textId="1627F0E2" w:rsidR="00BA6E97" w:rsidRPr="008262CC" w:rsidRDefault="00BA6E97" w:rsidP="005E40B7">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99525E">
              <w:rPr>
                <w:rFonts w:asciiTheme="minorHAnsi" w:hAnsiTheme="minorHAnsi" w:cs="Arial"/>
                <w:b/>
                <w:bCs/>
                <w:color w:val="000000"/>
                <w:sz w:val="18"/>
                <w:szCs w:val="18"/>
              </w:rPr>
              <w:t>3</w:t>
            </w:r>
            <w:r w:rsidR="005E40B7">
              <w:rPr>
                <w:rFonts w:asciiTheme="minorHAnsi" w:hAnsiTheme="minorHAnsi" w:cs="Arial"/>
                <w:b/>
                <w:bCs/>
                <w:color w:val="000000"/>
                <w:sz w:val="18"/>
                <w:szCs w:val="18"/>
              </w:rPr>
              <w:t>1</w:t>
            </w:r>
            <w:r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12</w:t>
            </w:r>
            <w:r w:rsidRPr="008262CC">
              <w:rPr>
                <w:rFonts w:asciiTheme="minorHAnsi" w:hAnsiTheme="minorHAnsi" w:cs="Arial"/>
                <w:b/>
                <w:bCs/>
                <w:color w:val="000000"/>
                <w:sz w:val="18"/>
                <w:szCs w:val="18"/>
              </w:rPr>
              <w:t>.20</w:t>
            </w:r>
            <w:r w:rsidR="00527ACF">
              <w:rPr>
                <w:rFonts w:asciiTheme="minorHAnsi" w:hAnsiTheme="minorHAnsi" w:cs="Arial"/>
                <w:b/>
                <w:bCs/>
                <w:color w:val="000000"/>
                <w:sz w:val="18"/>
                <w:szCs w:val="18"/>
              </w:rPr>
              <w:t>20</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14:paraId="71126822" w14:textId="4686F2DD" w:rsidR="00BA6E97" w:rsidRPr="008262CC" w:rsidRDefault="00BA6E97" w:rsidP="005E40B7">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Pr>
                <w:rFonts w:asciiTheme="minorHAnsi" w:hAnsiTheme="minorHAnsi" w:cs="Arial"/>
                <w:b/>
                <w:bCs/>
                <w:color w:val="000000"/>
                <w:sz w:val="18"/>
                <w:szCs w:val="18"/>
              </w:rPr>
              <w:t>3</w:t>
            </w:r>
            <w:r w:rsidR="005E40B7">
              <w:rPr>
                <w:rFonts w:asciiTheme="minorHAnsi" w:hAnsiTheme="minorHAnsi" w:cs="Arial"/>
                <w:b/>
                <w:bCs/>
                <w:color w:val="000000"/>
                <w:sz w:val="18"/>
                <w:szCs w:val="18"/>
              </w:rPr>
              <w:t>1</w:t>
            </w:r>
            <w:r w:rsidRPr="008262CC">
              <w:rPr>
                <w:rFonts w:asciiTheme="minorHAnsi" w:hAnsiTheme="minorHAnsi" w:cs="Arial"/>
                <w:b/>
                <w:bCs/>
                <w:color w:val="000000"/>
                <w:sz w:val="18"/>
                <w:szCs w:val="18"/>
              </w:rPr>
              <w:t>.</w:t>
            </w:r>
            <w:r w:rsidR="005E40B7">
              <w:rPr>
                <w:rFonts w:asciiTheme="minorHAnsi" w:hAnsiTheme="minorHAnsi" w:cs="Arial"/>
                <w:b/>
                <w:bCs/>
                <w:color w:val="000000"/>
                <w:sz w:val="18"/>
                <w:szCs w:val="18"/>
              </w:rPr>
              <w:t>12</w:t>
            </w:r>
            <w:r w:rsidRPr="008262CC">
              <w:rPr>
                <w:rFonts w:asciiTheme="minorHAnsi" w:hAnsiTheme="minorHAnsi" w:cs="Arial"/>
                <w:b/>
                <w:bCs/>
                <w:color w:val="000000"/>
                <w:sz w:val="18"/>
                <w:szCs w:val="18"/>
              </w:rPr>
              <w:t>.20</w:t>
            </w:r>
            <w:r w:rsidR="006876FF">
              <w:rPr>
                <w:rFonts w:asciiTheme="minorHAnsi" w:hAnsiTheme="minorHAnsi" w:cs="Arial"/>
                <w:b/>
                <w:bCs/>
                <w:color w:val="000000"/>
                <w:sz w:val="18"/>
                <w:szCs w:val="18"/>
              </w:rPr>
              <w:t>2</w:t>
            </w:r>
            <w:r w:rsidR="00527ACF">
              <w:rPr>
                <w:rFonts w:asciiTheme="minorHAnsi" w:hAnsiTheme="minorHAnsi" w:cs="Arial"/>
                <w:b/>
                <w:bCs/>
                <w:color w:val="000000"/>
                <w:sz w:val="18"/>
                <w:szCs w:val="18"/>
              </w:rPr>
              <w:t>1</w:t>
            </w:r>
          </w:p>
        </w:tc>
      </w:tr>
      <w:tr w:rsidR="004F48D0" w:rsidRPr="00716A45" w14:paraId="63224F1A" w14:textId="77777777" w:rsidTr="006876FF">
        <w:trPr>
          <w:trHeight w:val="356"/>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14:paraId="17217218"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MAHLE </w:t>
            </w:r>
            <w:proofErr w:type="spellStart"/>
            <w:r>
              <w:rPr>
                <w:rFonts w:asciiTheme="minorHAnsi" w:hAnsiTheme="minorHAnsi" w:cs="Arial"/>
                <w:color w:val="000000"/>
                <w:sz w:val="18"/>
                <w:szCs w:val="18"/>
              </w:rPr>
              <w:t>Behr</w:t>
            </w:r>
            <w:proofErr w:type="spellEnd"/>
            <w:r>
              <w:rPr>
                <w:rFonts w:asciiTheme="minorHAnsi" w:hAnsiTheme="minorHAnsi" w:cs="Arial"/>
                <w:color w:val="000000"/>
                <w:sz w:val="18"/>
                <w:szCs w:val="18"/>
              </w:rPr>
              <w:t xml:space="preserve"> Ostrava s.r.o. </w:t>
            </w:r>
          </w:p>
        </w:tc>
        <w:tc>
          <w:tcPr>
            <w:tcW w:w="1985" w:type="dxa"/>
            <w:tcBorders>
              <w:top w:val="single" w:sz="12" w:space="0" w:color="auto"/>
              <w:left w:val="single" w:sz="12" w:space="0" w:color="auto"/>
              <w:bottom w:val="single" w:sz="4" w:space="0" w:color="auto"/>
              <w:right w:val="single" w:sz="8" w:space="0" w:color="auto"/>
            </w:tcBorders>
            <w:vAlign w:val="center"/>
          </w:tcPr>
          <w:p w14:paraId="7922BC1C" w14:textId="5F9CCF67" w:rsidR="004F48D0" w:rsidRPr="00794E98" w:rsidRDefault="004F48D0" w:rsidP="004F48D0">
            <w:pPr>
              <w:jc w:val="center"/>
              <w:rPr>
                <w:rFonts w:asciiTheme="minorHAnsi" w:hAnsiTheme="minorHAnsi" w:cs="Arial"/>
                <w:sz w:val="18"/>
                <w:szCs w:val="18"/>
              </w:rPr>
            </w:pPr>
            <w:r w:rsidRPr="00794E98">
              <w:rPr>
                <w:rFonts w:asciiTheme="minorHAnsi" w:hAnsiTheme="minorHAnsi" w:cs="Arial"/>
                <w:bCs/>
                <w:sz w:val="18"/>
                <w:szCs w:val="18"/>
              </w:rPr>
              <w:t>3 539,00</w:t>
            </w:r>
          </w:p>
        </w:tc>
        <w:tc>
          <w:tcPr>
            <w:tcW w:w="2122" w:type="dxa"/>
            <w:tcBorders>
              <w:top w:val="single" w:sz="12" w:space="0" w:color="auto"/>
              <w:left w:val="single" w:sz="8" w:space="0" w:color="auto"/>
              <w:bottom w:val="single" w:sz="4" w:space="0" w:color="auto"/>
              <w:right w:val="single" w:sz="8" w:space="0" w:color="auto"/>
            </w:tcBorders>
            <w:vAlign w:val="center"/>
          </w:tcPr>
          <w:p w14:paraId="4497839F" w14:textId="61FA1857" w:rsidR="004F48D0" w:rsidRPr="00794E98" w:rsidRDefault="00794E98" w:rsidP="004F48D0">
            <w:pPr>
              <w:ind w:left="-208"/>
              <w:jc w:val="center"/>
              <w:rPr>
                <w:rFonts w:asciiTheme="minorHAnsi" w:hAnsiTheme="minorHAnsi" w:cs="Arial"/>
                <w:b/>
                <w:bCs/>
                <w:sz w:val="18"/>
                <w:szCs w:val="18"/>
              </w:rPr>
            </w:pPr>
            <w:r w:rsidRPr="00794E98">
              <w:rPr>
                <w:rFonts w:asciiTheme="minorHAnsi" w:hAnsiTheme="minorHAnsi" w:cs="Arial"/>
                <w:b/>
                <w:bCs/>
                <w:sz w:val="18"/>
                <w:szCs w:val="18"/>
              </w:rPr>
              <w:t>3 636,00</w:t>
            </w:r>
          </w:p>
        </w:tc>
        <w:tc>
          <w:tcPr>
            <w:tcW w:w="1426" w:type="dxa"/>
            <w:tcBorders>
              <w:top w:val="single" w:sz="12" w:space="0" w:color="auto"/>
              <w:left w:val="single" w:sz="8" w:space="0" w:color="auto"/>
              <w:bottom w:val="single" w:sz="4" w:space="0" w:color="auto"/>
              <w:right w:val="single" w:sz="8" w:space="0" w:color="auto"/>
            </w:tcBorders>
            <w:vAlign w:val="center"/>
          </w:tcPr>
          <w:p w14:paraId="03A13193" w14:textId="42651319" w:rsidR="004F48D0" w:rsidRPr="00794E98" w:rsidRDefault="004F48D0" w:rsidP="004F48D0">
            <w:pPr>
              <w:jc w:val="center"/>
              <w:rPr>
                <w:rFonts w:asciiTheme="minorHAnsi" w:hAnsiTheme="minorHAnsi" w:cs="Arial"/>
                <w:sz w:val="18"/>
                <w:szCs w:val="18"/>
                <w:lang w:val="en-US"/>
              </w:rPr>
            </w:pPr>
            <w:r w:rsidRPr="00794E98">
              <w:rPr>
                <w:rFonts w:asciiTheme="minorHAnsi" w:hAnsiTheme="minorHAnsi" w:cs="Arial"/>
                <w:bCs/>
                <w:sz w:val="18"/>
                <w:szCs w:val="18"/>
              </w:rPr>
              <w:t>1 096</w:t>
            </w:r>
          </w:p>
        </w:tc>
        <w:tc>
          <w:tcPr>
            <w:tcW w:w="1417" w:type="dxa"/>
            <w:tcBorders>
              <w:top w:val="single" w:sz="12" w:space="0" w:color="auto"/>
              <w:left w:val="single" w:sz="8" w:space="0" w:color="auto"/>
              <w:bottom w:val="single" w:sz="4" w:space="0" w:color="auto"/>
              <w:right w:val="single" w:sz="4" w:space="0" w:color="auto"/>
            </w:tcBorders>
            <w:vAlign w:val="center"/>
          </w:tcPr>
          <w:p w14:paraId="59F77A77" w14:textId="491D5E9B" w:rsidR="004F48D0" w:rsidRPr="00794E98" w:rsidRDefault="00794E98" w:rsidP="004F48D0">
            <w:pPr>
              <w:jc w:val="center"/>
              <w:rPr>
                <w:rFonts w:asciiTheme="minorHAnsi" w:hAnsiTheme="minorHAnsi" w:cs="Arial"/>
                <w:b/>
                <w:bCs/>
                <w:sz w:val="18"/>
                <w:szCs w:val="18"/>
                <w:lang w:val="en-US"/>
              </w:rPr>
            </w:pPr>
            <w:r w:rsidRPr="00794E98">
              <w:rPr>
                <w:rFonts w:asciiTheme="minorHAnsi" w:hAnsiTheme="minorHAnsi" w:cs="Arial"/>
                <w:b/>
                <w:bCs/>
                <w:sz w:val="18"/>
                <w:szCs w:val="18"/>
              </w:rPr>
              <w:t>1 137</w:t>
            </w:r>
          </w:p>
        </w:tc>
        <w:tc>
          <w:tcPr>
            <w:tcW w:w="1418" w:type="dxa"/>
            <w:tcBorders>
              <w:top w:val="single" w:sz="12" w:space="0" w:color="auto"/>
              <w:left w:val="nil"/>
              <w:bottom w:val="single" w:sz="4" w:space="0" w:color="auto"/>
              <w:right w:val="single" w:sz="8" w:space="0" w:color="auto"/>
            </w:tcBorders>
            <w:vAlign w:val="center"/>
            <w:hideMark/>
          </w:tcPr>
          <w:p w14:paraId="06220B90" w14:textId="77777777" w:rsidR="004F48D0" w:rsidRPr="00794E98" w:rsidRDefault="004F48D0" w:rsidP="004F48D0">
            <w:pPr>
              <w:jc w:val="center"/>
              <w:rPr>
                <w:rFonts w:asciiTheme="minorHAnsi" w:hAnsiTheme="minorHAnsi" w:cs="Arial"/>
                <w:sz w:val="18"/>
                <w:szCs w:val="18"/>
                <w:lang w:val="en-US"/>
              </w:rPr>
            </w:pPr>
            <w:r w:rsidRPr="00794E98">
              <w:rPr>
                <w:rFonts w:asciiTheme="minorHAnsi" w:hAnsiTheme="minorHAnsi" w:cs="Arial"/>
                <w:bCs/>
                <w:sz w:val="18"/>
                <w:szCs w:val="18"/>
              </w:rPr>
              <w:t>888/167</w:t>
            </w:r>
          </w:p>
        </w:tc>
      </w:tr>
      <w:tr w:rsidR="004F48D0" w:rsidRPr="00DA1D3B" w14:paraId="5A644C70" w14:textId="77777777" w:rsidTr="006876FF">
        <w:trPr>
          <w:trHeight w:val="356"/>
          <w:jc w:val="center"/>
        </w:trPr>
        <w:tc>
          <w:tcPr>
            <w:tcW w:w="2268" w:type="dxa"/>
            <w:tcBorders>
              <w:top w:val="nil"/>
              <w:left w:val="single" w:sz="8" w:space="0" w:color="auto"/>
              <w:bottom w:val="single" w:sz="4" w:space="0" w:color="auto"/>
              <w:right w:val="single" w:sz="12" w:space="0" w:color="auto"/>
            </w:tcBorders>
            <w:vAlign w:val="center"/>
            <w:hideMark/>
          </w:tcPr>
          <w:p w14:paraId="364196B3"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PLAKOR CZECH s.r.o. </w:t>
            </w:r>
          </w:p>
        </w:tc>
        <w:tc>
          <w:tcPr>
            <w:tcW w:w="1985" w:type="dxa"/>
            <w:tcBorders>
              <w:top w:val="nil"/>
              <w:left w:val="single" w:sz="12" w:space="0" w:color="auto"/>
              <w:bottom w:val="single" w:sz="4" w:space="0" w:color="auto"/>
              <w:right w:val="single" w:sz="8" w:space="0" w:color="auto"/>
            </w:tcBorders>
            <w:vAlign w:val="center"/>
          </w:tcPr>
          <w:p w14:paraId="0D3F2D58" w14:textId="70EAED36" w:rsidR="004F48D0" w:rsidRPr="00EA1121" w:rsidRDefault="004F48D0" w:rsidP="004F48D0">
            <w:pPr>
              <w:jc w:val="center"/>
              <w:rPr>
                <w:rFonts w:asciiTheme="minorHAnsi" w:hAnsiTheme="minorHAnsi" w:cs="Arial"/>
                <w:sz w:val="18"/>
                <w:szCs w:val="18"/>
              </w:rPr>
            </w:pPr>
            <w:r w:rsidRPr="00EA1121">
              <w:rPr>
                <w:rFonts w:asciiTheme="minorHAnsi" w:hAnsiTheme="minorHAnsi" w:cs="Arial"/>
                <w:bCs/>
                <w:sz w:val="18"/>
                <w:szCs w:val="18"/>
              </w:rPr>
              <w:t>3 440,87</w:t>
            </w:r>
          </w:p>
        </w:tc>
        <w:tc>
          <w:tcPr>
            <w:tcW w:w="2122" w:type="dxa"/>
            <w:tcBorders>
              <w:top w:val="nil"/>
              <w:left w:val="single" w:sz="8" w:space="0" w:color="auto"/>
              <w:bottom w:val="single" w:sz="4" w:space="0" w:color="auto"/>
              <w:right w:val="single" w:sz="8" w:space="0" w:color="auto"/>
            </w:tcBorders>
            <w:vAlign w:val="center"/>
          </w:tcPr>
          <w:p w14:paraId="4BBB340D" w14:textId="0F506A3C" w:rsidR="004F48D0" w:rsidRPr="00EA1121" w:rsidRDefault="00EA1121" w:rsidP="004F48D0">
            <w:pPr>
              <w:ind w:left="-208"/>
              <w:jc w:val="center"/>
              <w:rPr>
                <w:rFonts w:asciiTheme="minorHAnsi" w:hAnsiTheme="minorHAnsi" w:cs="Arial"/>
                <w:b/>
                <w:bCs/>
                <w:sz w:val="18"/>
                <w:szCs w:val="18"/>
              </w:rPr>
            </w:pPr>
            <w:r w:rsidRPr="00EA1121">
              <w:rPr>
                <w:rFonts w:asciiTheme="minorHAnsi" w:hAnsiTheme="minorHAnsi" w:cs="Arial"/>
                <w:b/>
                <w:bCs/>
                <w:sz w:val="18"/>
                <w:szCs w:val="18"/>
              </w:rPr>
              <w:t>3 528,48</w:t>
            </w:r>
          </w:p>
        </w:tc>
        <w:tc>
          <w:tcPr>
            <w:tcW w:w="1426" w:type="dxa"/>
            <w:tcBorders>
              <w:top w:val="nil"/>
              <w:left w:val="single" w:sz="8" w:space="0" w:color="auto"/>
              <w:bottom w:val="single" w:sz="4" w:space="0" w:color="auto"/>
              <w:right w:val="single" w:sz="8" w:space="0" w:color="auto"/>
            </w:tcBorders>
            <w:vAlign w:val="center"/>
          </w:tcPr>
          <w:p w14:paraId="67C8C191" w14:textId="561B9C08" w:rsidR="004F48D0" w:rsidRPr="00EA1121" w:rsidRDefault="004F48D0" w:rsidP="004F48D0">
            <w:pPr>
              <w:jc w:val="center"/>
              <w:rPr>
                <w:rFonts w:asciiTheme="minorHAnsi" w:hAnsiTheme="minorHAnsi" w:cs="Arial"/>
                <w:sz w:val="18"/>
                <w:szCs w:val="18"/>
              </w:rPr>
            </w:pPr>
            <w:r w:rsidRPr="00EA1121">
              <w:rPr>
                <w:rFonts w:asciiTheme="minorHAnsi" w:hAnsiTheme="minorHAnsi" w:cs="Arial"/>
                <w:bCs/>
                <w:sz w:val="18"/>
                <w:szCs w:val="18"/>
              </w:rPr>
              <w:t>1 011</w:t>
            </w:r>
          </w:p>
        </w:tc>
        <w:tc>
          <w:tcPr>
            <w:tcW w:w="1417" w:type="dxa"/>
            <w:tcBorders>
              <w:top w:val="nil"/>
              <w:left w:val="single" w:sz="8" w:space="0" w:color="auto"/>
              <w:bottom w:val="single" w:sz="4" w:space="0" w:color="auto"/>
              <w:right w:val="single" w:sz="4" w:space="0" w:color="auto"/>
            </w:tcBorders>
            <w:vAlign w:val="center"/>
          </w:tcPr>
          <w:p w14:paraId="1BB6D8A1" w14:textId="22A9ECDD" w:rsidR="004F48D0" w:rsidRPr="00EA1121" w:rsidRDefault="00EA1121" w:rsidP="004F48D0">
            <w:pPr>
              <w:jc w:val="center"/>
              <w:rPr>
                <w:rFonts w:asciiTheme="minorHAnsi" w:hAnsiTheme="minorHAnsi" w:cs="Arial"/>
                <w:b/>
                <w:bCs/>
                <w:sz w:val="18"/>
                <w:szCs w:val="18"/>
              </w:rPr>
            </w:pPr>
            <w:r w:rsidRPr="00EA1121">
              <w:rPr>
                <w:rFonts w:asciiTheme="minorHAnsi" w:hAnsiTheme="minorHAnsi" w:cs="Arial"/>
                <w:b/>
                <w:bCs/>
                <w:sz w:val="18"/>
                <w:szCs w:val="18"/>
              </w:rPr>
              <w:t>1 010</w:t>
            </w:r>
          </w:p>
        </w:tc>
        <w:tc>
          <w:tcPr>
            <w:tcW w:w="1418" w:type="dxa"/>
            <w:tcBorders>
              <w:top w:val="nil"/>
              <w:left w:val="nil"/>
              <w:bottom w:val="single" w:sz="4" w:space="0" w:color="auto"/>
              <w:right w:val="single" w:sz="8" w:space="0" w:color="auto"/>
            </w:tcBorders>
            <w:vAlign w:val="center"/>
            <w:hideMark/>
          </w:tcPr>
          <w:p w14:paraId="50A1631E" w14:textId="0B9FC849" w:rsidR="004F48D0" w:rsidRPr="00EA1121" w:rsidRDefault="00EA1121" w:rsidP="004F48D0">
            <w:pPr>
              <w:jc w:val="center"/>
              <w:rPr>
                <w:rFonts w:asciiTheme="minorHAnsi" w:hAnsiTheme="minorHAnsi" w:cs="Arial"/>
                <w:sz w:val="18"/>
                <w:szCs w:val="18"/>
              </w:rPr>
            </w:pPr>
            <w:r w:rsidRPr="00EA1121">
              <w:rPr>
                <w:rFonts w:asciiTheme="minorHAnsi" w:hAnsiTheme="minorHAnsi" w:cs="Arial"/>
                <w:bCs/>
                <w:sz w:val="18"/>
                <w:szCs w:val="18"/>
              </w:rPr>
              <w:t>1 133</w:t>
            </w:r>
          </w:p>
        </w:tc>
      </w:tr>
      <w:tr w:rsidR="004F48D0" w:rsidRPr="008262CC" w14:paraId="63DABC55" w14:textId="77777777" w:rsidTr="00BA6E97">
        <w:trPr>
          <w:trHeight w:val="356"/>
          <w:jc w:val="center"/>
        </w:trPr>
        <w:tc>
          <w:tcPr>
            <w:tcW w:w="2268" w:type="dxa"/>
            <w:tcBorders>
              <w:top w:val="single" w:sz="4" w:space="0" w:color="auto"/>
              <w:left w:val="single" w:sz="8" w:space="0" w:color="auto"/>
              <w:bottom w:val="single" w:sz="8" w:space="0" w:color="auto"/>
              <w:right w:val="single" w:sz="12" w:space="0" w:color="auto"/>
            </w:tcBorders>
            <w:vAlign w:val="center"/>
          </w:tcPr>
          <w:p w14:paraId="54D55D05"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CROMODORA WHEELS s.r.o. </w:t>
            </w:r>
          </w:p>
        </w:tc>
        <w:tc>
          <w:tcPr>
            <w:tcW w:w="1985" w:type="dxa"/>
            <w:tcBorders>
              <w:top w:val="single" w:sz="4" w:space="0" w:color="auto"/>
              <w:left w:val="single" w:sz="12" w:space="0" w:color="auto"/>
              <w:bottom w:val="single" w:sz="8" w:space="0" w:color="auto"/>
              <w:right w:val="single" w:sz="8" w:space="0" w:color="auto"/>
            </w:tcBorders>
            <w:vAlign w:val="center"/>
          </w:tcPr>
          <w:p w14:paraId="185E7E15" w14:textId="7FC3B8FF" w:rsidR="004F48D0" w:rsidRPr="00794E98" w:rsidRDefault="004F48D0" w:rsidP="004F48D0">
            <w:pPr>
              <w:jc w:val="center"/>
              <w:rPr>
                <w:rFonts w:asciiTheme="minorHAnsi" w:hAnsiTheme="minorHAnsi" w:cs="Arial"/>
                <w:sz w:val="18"/>
                <w:szCs w:val="18"/>
              </w:rPr>
            </w:pPr>
            <w:r w:rsidRPr="00794E98">
              <w:rPr>
                <w:rFonts w:asciiTheme="minorHAnsi" w:hAnsiTheme="minorHAnsi" w:cs="Arial"/>
                <w:bCs/>
                <w:sz w:val="18"/>
                <w:szCs w:val="18"/>
              </w:rPr>
              <w:t>3 112,51</w:t>
            </w:r>
          </w:p>
        </w:tc>
        <w:tc>
          <w:tcPr>
            <w:tcW w:w="2122" w:type="dxa"/>
            <w:tcBorders>
              <w:top w:val="single" w:sz="4" w:space="0" w:color="auto"/>
              <w:left w:val="single" w:sz="8" w:space="0" w:color="auto"/>
              <w:bottom w:val="single" w:sz="8" w:space="0" w:color="auto"/>
              <w:right w:val="single" w:sz="8" w:space="0" w:color="auto"/>
            </w:tcBorders>
            <w:vAlign w:val="center"/>
          </w:tcPr>
          <w:p w14:paraId="7C17A95E" w14:textId="4EBFB7E3" w:rsidR="004F48D0" w:rsidRPr="00794E98" w:rsidRDefault="00794E98" w:rsidP="004F48D0">
            <w:pPr>
              <w:ind w:left="-208"/>
              <w:jc w:val="center"/>
              <w:rPr>
                <w:rFonts w:asciiTheme="minorHAnsi" w:hAnsiTheme="minorHAnsi" w:cs="Arial"/>
                <w:b/>
                <w:bCs/>
                <w:sz w:val="18"/>
                <w:szCs w:val="18"/>
              </w:rPr>
            </w:pPr>
            <w:r w:rsidRPr="00794E98">
              <w:rPr>
                <w:rFonts w:asciiTheme="minorHAnsi" w:hAnsiTheme="minorHAnsi" w:cs="Arial"/>
                <w:b/>
                <w:bCs/>
                <w:sz w:val="18"/>
                <w:szCs w:val="18"/>
              </w:rPr>
              <w:t>3 116,96</w:t>
            </w:r>
          </w:p>
        </w:tc>
        <w:tc>
          <w:tcPr>
            <w:tcW w:w="1426" w:type="dxa"/>
            <w:tcBorders>
              <w:top w:val="single" w:sz="4" w:space="0" w:color="auto"/>
              <w:left w:val="single" w:sz="8" w:space="0" w:color="auto"/>
              <w:bottom w:val="single" w:sz="8" w:space="0" w:color="auto"/>
              <w:right w:val="single" w:sz="8" w:space="0" w:color="auto"/>
            </w:tcBorders>
            <w:vAlign w:val="center"/>
          </w:tcPr>
          <w:p w14:paraId="32C96EC4" w14:textId="69384E49" w:rsidR="004F48D0" w:rsidRPr="00794E98" w:rsidRDefault="004F48D0" w:rsidP="004F48D0">
            <w:pPr>
              <w:jc w:val="center"/>
              <w:rPr>
                <w:rFonts w:asciiTheme="minorHAnsi" w:hAnsiTheme="minorHAnsi" w:cs="Arial"/>
                <w:sz w:val="18"/>
                <w:szCs w:val="18"/>
              </w:rPr>
            </w:pPr>
            <w:r w:rsidRPr="00794E98">
              <w:rPr>
                <w:rFonts w:asciiTheme="minorHAnsi" w:hAnsiTheme="minorHAnsi" w:cs="Arial"/>
                <w:bCs/>
                <w:sz w:val="18"/>
                <w:szCs w:val="18"/>
              </w:rPr>
              <w:t>440</w:t>
            </w:r>
          </w:p>
        </w:tc>
        <w:tc>
          <w:tcPr>
            <w:tcW w:w="1417" w:type="dxa"/>
            <w:tcBorders>
              <w:top w:val="single" w:sz="4" w:space="0" w:color="auto"/>
              <w:left w:val="single" w:sz="8" w:space="0" w:color="auto"/>
              <w:bottom w:val="single" w:sz="8" w:space="0" w:color="auto"/>
              <w:right w:val="single" w:sz="4" w:space="0" w:color="auto"/>
            </w:tcBorders>
            <w:vAlign w:val="center"/>
          </w:tcPr>
          <w:p w14:paraId="74AB132A" w14:textId="56D780F7" w:rsidR="004F48D0" w:rsidRPr="00794E98" w:rsidRDefault="00794E98" w:rsidP="004F48D0">
            <w:pPr>
              <w:jc w:val="center"/>
              <w:rPr>
                <w:rFonts w:asciiTheme="minorHAnsi" w:hAnsiTheme="minorHAnsi" w:cs="Arial"/>
                <w:b/>
                <w:bCs/>
                <w:sz w:val="18"/>
                <w:szCs w:val="18"/>
              </w:rPr>
            </w:pPr>
            <w:r w:rsidRPr="00794E98">
              <w:rPr>
                <w:rFonts w:asciiTheme="minorHAnsi" w:hAnsiTheme="minorHAnsi" w:cs="Arial"/>
                <w:b/>
                <w:bCs/>
                <w:sz w:val="18"/>
                <w:szCs w:val="18"/>
              </w:rPr>
              <w:t>456</w:t>
            </w:r>
          </w:p>
        </w:tc>
        <w:tc>
          <w:tcPr>
            <w:tcW w:w="1418" w:type="dxa"/>
            <w:tcBorders>
              <w:top w:val="single" w:sz="4" w:space="0" w:color="auto"/>
              <w:left w:val="nil"/>
              <w:bottom w:val="single" w:sz="8" w:space="0" w:color="auto"/>
              <w:right w:val="single" w:sz="8" w:space="0" w:color="auto"/>
            </w:tcBorders>
            <w:vAlign w:val="center"/>
          </w:tcPr>
          <w:p w14:paraId="620B3AC7" w14:textId="2D3FCA83" w:rsidR="004F48D0" w:rsidRPr="00794E98" w:rsidRDefault="004F48D0" w:rsidP="00794E98">
            <w:pPr>
              <w:jc w:val="center"/>
              <w:rPr>
                <w:rFonts w:asciiTheme="minorHAnsi" w:hAnsiTheme="minorHAnsi" w:cs="Arial"/>
                <w:sz w:val="18"/>
                <w:szCs w:val="18"/>
              </w:rPr>
            </w:pPr>
            <w:r w:rsidRPr="00794E98">
              <w:rPr>
                <w:rFonts w:asciiTheme="minorHAnsi" w:hAnsiTheme="minorHAnsi" w:cs="Arial"/>
                <w:sz w:val="18"/>
                <w:szCs w:val="18"/>
              </w:rPr>
              <w:t>4</w:t>
            </w:r>
            <w:r w:rsidR="00794E98" w:rsidRPr="00794E98">
              <w:rPr>
                <w:rFonts w:asciiTheme="minorHAnsi" w:hAnsiTheme="minorHAnsi" w:cs="Arial"/>
                <w:sz w:val="18"/>
                <w:szCs w:val="18"/>
              </w:rPr>
              <w:t>63</w:t>
            </w:r>
          </w:p>
        </w:tc>
      </w:tr>
      <w:tr w:rsidR="004F48D0" w:rsidRPr="008262CC" w14:paraId="05160E0B" w14:textId="77777777"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14:paraId="5977F320"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ENES </w:t>
            </w:r>
            <w:proofErr w:type="spellStart"/>
            <w:r>
              <w:rPr>
                <w:rFonts w:asciiTheme="minorHAnsi" w:hAnsiTheme="minorHAnsi" w:cs="Arial"/>
                <w:color w:val="000000"/>
                <w:sz w:val="18"/>
                <w:szCs w:val="18"/>
              </w:rPr>
              <w:t>Cargo</w:t>
            </w:r>
            <w:proofErr w:type="spellEnd"/>
            <w:r>
              <w:rPr>
                <w:rFonts w:asciiTheme="minorHAnsi" w:hAnsiTheme="minorHAnsi" w:cs="Arial"/>
                <w:color w:val="000000"/>
                <w:sz w:val="18"/>
                <w:szCs w:val="18"/>
              </w:rPr>
              <w:t xml:space="preserve"> a. s. </w:t>
            </w:r>
          </w:p>
        </w:tc>
        <w:tc>
          <w:tcPr>
            <w:tcW w:w="1985" w:type="dxa"/>
            <w:tcBorders>
              <w:top w:val="single" w:sz="4" w:space="0" w:color="auto"/>
              <w:left w:val="single" w:sz="12" w:space="0" w:color="auto"/>
              <w:bottom w:val="single" w:sz="8" w:space="0" w:color="auto"/>
              <w:right w:val="single" w:sz="8" w:space="0" w:color="auto"/>
            </w:tcBorders>
            <w:vAlign w:val="center"/>
          </w:tcPr>
          <w:p w14:paraId="69B70231" w14:textId="301B0B29" w:rsidR="004F48D0" w:rsidRPr="00663A37" w:rsidRDefault="004F48D0" w:rsidP="004F48D0">
            <w:pPr>
              <w:jc w:val="center"/>
              <w:rPr>
                <w:rFonts w:asciiTheme="minorHAnsi" w:hAnsiTheme="minorHAnsi" w:cs="Arial"/>
                <w:sz w:val="18"/>
                <w:szCs w:val="18"/>
              </w:rPr>
            </w:pPr>
            <w:r w:rsidRPr="00663A37">
              <w:rPr>
                <w:rFonts w:asciiTheme="minorHAnsi" w:hAnsiTheme="minorHAnsi" w:cs="Arial"/>
                <w:bCs/>
                <w:sz w:val="18"/>
                <w:szCs w:val="18"/>
              </w:rPr>
              <w:t>25,04</w:t>
            </w:r>
          </w:p>
        </w:tc>
        <w:tc>
          <w:tcPr>
            <w:tcW w:w="2122" w:type="dxa"/>
            <w:tcBorders>
              <w:top w:val="single" w:sz="4" w:space="0" w:color="auto"/>
              <w:left w:val="single" w:sz="8" w:space="0" w:color="auto"/>
              <w:bottom w:val="single" w:sz="8" w:space="0" w:color="auto"/>
              <w:right w:val="single" w:sz="8" w:space="0" w:color="auto"/>
            </w:tcBorders>
            <w:vAlign w:val="center"/>
          </w:tcPr>
          <w:p w14:paraId="2CDBFD66" w14:textId="77777777" w:rsidR="004F48D0" w:rsidRPr="00663A37" w:rsidRDefault="004F48D0" w:rsidP="004F48D0">
            <w:pPr>
              <w:ind w:left="-208"/>
              <w:jc w:val="center"/>
              <w:rPr>
                <w:rFonts w:asciiTheme="minorHAnsi" w:hAnsiTheme="minorHAnsi" w:cs="Arial"/>
                <w:b/>
                <w:bCs/>
                <w:sz w:val="18"/>
                <w:szCs w:val="18"/>
              </w:rPr>
            </w:pPr>
            <w:r w:rsidRPr="00663A37">
              <w:rPr>
                <w:rFonts w:asciiTheme="minorHAnsi" w:hAnsiTheme="minorHAnsi" w:cs="Arial"/>
                <w:b/>
                <w:bCs/>
                <w:sz w:val="18"/>
                <w:szCs w:val="18"/>
              </w:rPr>
              <w:t>25,04</w:t>
            </w:r>
          </w:p>
        </w:tc>
        <w:tc>
          <w:tcPr>
            <w:tcW w:w="1426" w:type="dxa"/>
            <w:tcBorders>
              <w:top w:val="single" w:sz="4" w:space="0" w:color="auto"/>
              <w:left w:val="single" w:sz="8" w:space="0" w:color="auto"/>
              <w:bottom w:val="single" w:sz="8" w:space="0" w:color="auto"/>
              <w:right w:val="single" w:sz="8" w:space="0" w:color="auto"/>
            </w:tcBorders>
            <w:vAlign w:val="center"/>
          </w:tcPr>
          <w:p w14:paraId="0E95059A" w14:textId="5FDBC92C" w:rsidR="004F48D0" w:rsidRPr="00663A37" w:rsidRDefault="004F48D0" w:rsidP="004F48D0">
            <w:pPr>
              <w:jc w:val="center"/>
              <w:rPr>
                <w:rFonts w:asciiTheme="minorHAnsi" w:hAnsiTheme="minorHAnsi" w:cs="Arial"/>
                <w:sz w:val="18"/>
                <w:szCs w:val="18"/>
              </w:rPr>
            </w:pPr>
            <w:r w:rsidRPr="00663A37">
              <w:rPr>
                <w:rFonts w:asciiTheme="minorHAnsi" w:hAnsiTheme="minorHAnsi" w:cs="Arial"/>
                <w:bCs/>
                <w:sz w:val="18"/>
                <w:szCs w:val="18"/>
              </w:rPr>
              <w:t>7</w:t>
            </w:r>
          </w:p>
        </w:tc>
        <w:tc>
          <w:tcPr>
            <w:tcW w:w="1417" w:type="dxa"/>
            <w:tcBorders>
              <w:top w:val="single" w:sz="4" w:space="0" w:color="auto"/>
              <w:left w:val="single" w:sz="8" w:space="0" w:color="auto"/>
              <w:bottom w:val="single" w:sz="8" w:space="0" w:color="auto"/>
              <w:right w:val="single" w:sz="4" w:space="0" w:color="auto"/>
            </w:tcBorders>
            <w:vAlign w:val="center"/>
          </w:tcPr>
          <w:p w14:paraId="0604ACBB" w14:textId="77777777" w:rsidR="004F48D0" w:rsidRPr="00663A37" w:rsidRDefault="004F48D0" w:rsidP="004F48D0">
            <w:pPr>
              <w:jc w:val="center"/>
              <w:rPr>
                <w:rFonts w:asciiTheme="minorHAnsi" w:hAnsiTheme="minorHAnsi" w:cs="Arial"/>
                <w:b/>
                <w:bCs/>
                <w:sz w:val="18"/>
                <w:szCs w:val="18"/>
              </w:rPr>
            </w:pPr>
            <w:r w:rsidRPr="00663A37">
              <w:rPr>
                <w:rFonts w:asciiTheme="minorHAnsi" w:hAnsiTheme="minorHAnsi" w:cs="Arial"/>
                <w:b/>
                <w:bCs/>
                <w:sz w:val="18"/>
                <w:szCs w:val="18"/>
              </w:rPr>
              <w:t>7</w:t>
            </w:r>
          </w:p>
        </w:tc>
        <w:tc>
          <w:tcPr>
            <w:tcW w:w="1418" w:type="dxa"/>
            <w:tcBorders>
              <w:top w:val="single" w:sz="4" w:space="0" w:color="auto"/>
              <w:left w:val="nil"/>
              <w:bottom w:val="single" w:sz="8" w:space="0" w:color="auto"/>
              <w:right w:val="single" w:sz="8" w:space="0" w:color="auto"/>
            </w:tcBorders>
            <w:vAlign w:val="center"/>
          </w:tcPr>
          <w:p w14:paraId="7C6335DB" w14:textId="65A8BED6" w:rsidR="004F48D0" w:rsidRPr="00663A37" w:rsidRDefault="00663A37" w:rsidP="004F48D0">
            <w:pPr>
              <w:jc w:val="center"/>
              <w:rPr>
                <w:rFonts w:asciiTheme="minorHAnsi" w:hAnsiTheme="minorHAnsi" w:cs="Arial"/>
                <w:sz w:val="18"/>
                <w:szCs w:val="18"/>
              </w:rPr>
            </w:pPr>
            <w:r w:rsidRPr="00663A37">
              <w:rPr>
                <w:rFonts w:asciiTheme="minorHAnsi" w:hAnsiTheme="minorHAnsi" w:cs="Arial"/>
                <w:sz w:val="18"/>
                <w:szCs w:val="18"/>
              </w:rPr>
              <w:t>x</w:t>
            </w:r>
          </w:p>
        </w:tc>
      </w:tr>
      <w:tr w:rsidR="004F48D0" w:rsidRPr="002303D8" w14:paraId="382E563F" w14:textId="77777777"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14:paraId="3A257CA9"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OSTRAVA AIRPORT MULTIMODAL PARK s. r. o. </w:t>
            </w:r>
          </w:p>
        </w:tc>
        <w:tc>
          <w:tcPr>
            <w:tcW w:w="1985" w:type="dxa"/>
            <w:tcBorders>
              <w:top w:val="single" w:sz="4" w:space="0" w:color="auto"/>
              <w:left w:val="single" w:sz="12" w:space="0" w:color="auto"/>
              <w:bottom w:val="single" w:sz="8" w:space="0" w:color="auto"/>
              <w:right w:val="single" w:sz="8" w:space="0" w:color="auto"/>
            </w:tcBorders>
            <w:vAlign w:val="center"/>
          </w:tcPr>
          <w:p w14:paraId="4B2C2FDE" w14:textId="34040822" w:rsidR="004F48D0" w:rsidRPr="00D51D90" w:rsidRDefault="004F48D0" w:rsidP="004F48D0">
            <w:pPr>
              <w:jc w:val="center"/>
              <w:rPr>
                <w:rFonts w:asciiTheme="minorHAnsi" w:hAnsiTheme="minorHAnsi" w:cs="Arial"/>
                <w:sz w:val="18"/>
                <w:szCs w:val="18"/>
              </w:rPr>
            </w:pPr>
            <w:r w:rsidRPr="00D51D90">
              <w:rPr>
                <w:rFonts w:asciiTheme="minorHAnsi" w:hAnsiTheme="minorHAnsi" w:cs="Arial"/>
                <w:bCs/>
                <w:sz w:val="18"/>
                <w:szCs w:val="18"/>
              </w:rPr>
              <w:t>650,00</w:t>
            </w:r>
          </w:p>
        </w:tc>
        <w:tc>
          <w:tcPr>
            <w:tcW w:w="2122" w:type="dxa"/>
            <w:tcBorders>
              <w:top w:val="single" w:sz="4" w:space="0" w:color="auto"/>
              <w:left w:val="single" w:sz="8" w:space="0" w:color="auto"/>
              <w:bottom w:val="single" w:sz="8" w:space="0" w:color="auto"/>
              <w:right w:val="single" w:sz="8" w:space="0" w:color="auto"/>
            </w:tcBorders>
            <w:vAlign w:val="center"/>
          </w:tcPr>
          <w:p w14:paraId="793534A2" w14:textId="67A75828" w:rsidR="004F48D0" w:rsidRPr="00D51D90" w:rsidRDefault="00D51D90" w:rsidP="004F48D0">
            <w:pPr>
              <w:ind w:left="-208"/>
              <w:jc w:val="center"/>
              <w:rPr>
                <w:rFonts w:asciiTheme="minorHAnsi" w:hAnsiTheme="minorHAnsi" w:cs="Arial"/>
                <w:b/>
                <w:bCs/>
                <w:sz w:val="18"/>
                <w:szCs w:val="18"/>
              </w:rPr>
            </w:pPr>
            <w:r w:rsidRPr="00D51D90">
              <w:rPr>
                <w:rFonts w:asciiTheme="minorHAnsi" w:hAnsiTheme="minorHAnsi" w:cs="Arial"/>
                <w:b/>
                <w:bCs/>
                <w:sz w:val="18"/>
                <w:szCs w:val="18"/>
              </w:rPr>
              <w:t>1 217,00</w:t>
            </w:r>
          </w:p>
        </w:tc>
        <w:tc>
          <w:tcPr>
            <w:tcW w:w="1426" w:type="dxa"/>
            <w:tcBorders>
              <w:top w:val="single" w:sz="4" w:space="0" w:color="auto"/>
              <w:left w:val="single" w:sz="8" w:space="0" w:color="auto"/>
              <w:bottom w:val="single" w:sz="8" w:space="0" w:color="auto"/>
              <w:right w:val="single" w:sz="8" w:space="0" w:color="auto"/>
            </w:tcBorders>
            <w:vAlign w:val="center"/>
          </w:tcPr>
          <w:p w14:paraId="093114A7" w14:textId="54FAABAA" w:rsidR="004F48D0" w:rsidRPr="00D51D90" w:rsidRDefault="004F48D0" w:rsidP="004F48D0">
            <w:pPr>
              <w:jc w:val="center"/>
              <w:rPr>
                <w:rFonts w:asciiTheme="minorHAnsi" w:hAnsiTheme="minorHAnsi" w:cs="Arial"/>
                <w:sz w:val="18"/>
                <w:szCs w:val="18"/>
              </w:rPr>
            </w:pPr>
            <w:r w:rsidRPr="00D51D90">
              <w:rPr>
                <w:rFonts w:asciiTheme="minorHAnsi" w:hAnsiTheme="minorHAnsi" w:cs="Arial"/>
                <w:bCs/>
                <w:sz w:val="18"/>
                <w:szCs w:val="18"/>
              </w:rPr>
              <w:t>101</w:t>
            </w:r>
          </w:p>
        </w:tc>
        <w:tc>
          <w:tcPr>
            <w:tcW w:w="1417" w:type="dxa"/>
            <w:tcBorders>
              <w:top w:val="single" w:sz="4" w:space="0" w:color="auto"/>
              <w:left w:val="single" w:sz="8" w:space="0" w:color="auto"/>
              <w:bottom w:val="single" w:sz="8" w:space="0" w:color="auto"/>
              <w:right w:val="single" w:sz="4" w:space="0" w:color="auto"/>
            </w:tcBorders>
            <w:vAlign w:val="center"/>
          </w:tcPr>
          <w:p w14:paraId="3AF2106D" w14:textId="57730F3D" w:rsidR="004F48D0" w:rsidRPr="00D51D90" w:rsidRDefault="004F48D0" w:rsidP="00D51D90">
            <w:pPr>
              <w:jc w:val="center"/>
              <w:rPr>
                <w:rFonts w:asciiTheme="minorHAnsi" w:hAnsiTheme="minorHAnsi" w:cs="Arial"/>
                <w:b/>
                <w:bCs/>
                <w:sz w:val="18"/>
                <w:szCs w:val="18"/>
              </w:rPr>
            </w:pPr>
            <w:r w:rsidRPr="00D51D90">
              <w:rPr>
                <w:rFonts w:asciiTheme="minorHAnsi" w:hAnsiTheme="minorHAnsi" w:cs="Arial"/>
                <w:b/>
                <w:bCs/>
                <w:sz w:val="18"/>
                <w:szCs w:val="18"/>
              </w:rPr>
              <w:t>1</w:t>
            </w:r>
            <w:r w:rsidR="00D51D90" w:rsidRPr="00D51D90">
              <w:rPr>
                <w:rFonts w:asciiTheme="minorHAnsi" w:hAnsiTheme="minorHAnsi" w:cs="Arial"/>
                <w:b/>
                <w:bCs/>
                <w:sz w:val="18"/>
                <w:szCs w:val="18"/>
              </w:rPr>
              <w:t>09</w:t>
            </w:r>
          </w:p>
        </w:tc>
        <w:tc>
          <w:tcPr>
            <w:tcW w:w="1418" w:type="dxa"/>
            <w:tcBorders>
              <w:top w:val="single" w:sz="4" w:space="0" w:color="auto"/>
              <w:left w:val="nil"/>
              <w:bottom w:val="single" w:sz="8" w:space="0" w:color="auto"/>
              <w:right w:val="single" w:sz="8" w:space="0" w:color="auto"/>
            </w:tcBorders>
            <w:vAlign w:val="center"/>
          </w:tcPr>
          <w:p w14:paraId="736D038E" w14:textId="021F3F10" w:rsidR="004F48D0" w:rsidRPr="00D51D90" w:rsidRDefault="004F48D0" w:rsidP="00D51D90">
            <w:pPr>
              <w:jc w:val="center"/>
              <w:rPr>
                <w:rFonts w:asciiTheme="minorHAnsi" w:hAnsiTheme="minorHAnsi" w:cs="Arial"/>
                <w:sz w:val="18"/>
                <w:szCs w:val="18"/>
              </w:rPr>
            </w:pPr>
            <w:r w:rsidRPr="00D51D90">
              <w:rPr>
                <w:rFonts w:asciiTheme="minorHAnsi" w:hAnsiTheme="minorHAnsi" w:cs="Arial"/>
                <w:sz w:val="18"/>
                <w:szCs w:val="18"/>
              </w:rPr>
              <w:t>20</w:t>
            </w:r>
            <w:r w:rsidR="00D51D90" w:rsidRPr="00D51D90">
              <w:rPr>
                <w:rFonts w:asciiTheme="minorHAnsi" w:hAnsiTheme="minorHAnsi" w:cs="Arial"/>
                <w:sz w:val="18"/>
                <w:szCs w:val="18"/>
              </w:rPr>
              <w:t>9</w:t>
            </w:r>
          </w:p>
        </w:tc>
      </w:tr>
      <w:tr w:rsidR="004F48D0" w:rsidRPr="008262CC" w14:paraId="121808E6" w14:textId="77777777"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14:paraId="64AF8BDF" w14:textId="77777777" w:rsidR="004F48D0" w:rsidRPr="008262CC" w:rsidRDefault="004F48D0" w:rsidP="004F48D0">
            <w:pPr>
              <w:rPr>
                <w:rFonts w:asciiTheme="minorHAnsi" w:hAnsiTheme="minorHAnsi" w:cs="Arial"/>
                <w:color w:val="000000"/>
                <w:sz w:val="18"/>
                <w:szCs w:val="18"/>
              </w:rPr>
            </w:pPr>
            <w:proofErr w:type="spellStart"/>
            <w:r>
              <w:rPr>
                <w:rFonts w:asciiTheme="minorHAnsi" w:hAnsiTheme="minorHAnsi" w:cs="Arial"/>
                <w:color w:val="000000"/>
                <w:sz w:val="18"/>
                <w:szCs w:val="18"/>
              </w:rPr>
              <w:t>Mobis</w:t>
            </w:r>
            <w:proofErr w:type="spellEnd"/>
            <w:r>
              <w:rPr>
                <w:rFonts w:asciiTheme="minorHAnsi" w:hAnsiTheme="minorHAnsi" w:cs="Arial"/>
                <w:color w:val="000000"/>
                <w:sz w:val="18"/>
                <w:szCs w:val="18"/>
              </w:rPr>
              <w:t xml:space="preserve"> </w:t>
            </w:r>
            <w:proofErr w:type="spellStart"/>
            <w:r>
              <w:rPr>
                <w:rFonts w:asciiTheme="minorHAnsi" w:hAnsiTheme="minorHAnsi" w:cs="Arial"/>
                <w:color w:val="000000"/>
                <w:sz w:val="18"/>
                <w:szCs w:val="18"/>
              </w:rPr>
              <w:t>Automotive</w:t>
            </w:r>
            <w:proofErr w:type="spellEnd"/>
            <w:r>
              <w:rPr>
                <w:rFonts w:asciiTheme="minorHAnsi" w:hAnsiTheme="minorHAnsi" w:cs="Arial"/>
                <w:color w:val="000000"/>
                <w:sz w:val="18"/>
                <w:szCs w:val="18"/>
              </w:rPr>
              <w:t xml:space="preserve"> </w:t>
            </w:r>
            <w:proofErr w:type="spellStart"/>
            <w:r>
              <w:rPr>
                <w:rFonts w:asciiTheme="minorHAnsi" w:hAnsiTheme="minorHAnsi" w:cs="Arial"/>
                <w:color w:val="000000"/>
                <w:sz w:val="18"/>
                <w:szCs w:val="18"/>
              </w:rPr>
              <w:t>System</w:t>
            </w:r>
            <w:proofErr w:type="spellEnd"/>
            <w:r>
              <w:rPr>
                <w:rFonts w:asciiTheme="minorHAnsi" w:hAnsiTheme="minorHAnsi" w:cs="Arial"/>
                <w:color w:val="000000"/>
                <w:sz w:val="18"/>
                <w:szCs w:val="18"/>
              </w:rPr>
              <w:t xml:space="preserve"> Czech s.r.o. </w:t>
            </w:r>
          </w:p>
        </w:tc>
        <w:tc>
          <w:tcPr>
            <w:tcW w:w="1985" w:type="dxa"/>
            <w:tcBorders>
              <w:top w:val="single" w:sz="4" w:space="0" w:color="auto"/>
              <w:left w:val="single" w:sz="12" w:space="0" w:color="auto"/>
              <w:bottom w:val="single" w:sz="8" w:space="0" w:color="auto"/>
              <w:right w:val="single" w:sz="8" w:space="0" w:color="auto"/>
            </w:tcBorders>
            <w:vAlign w:val="center"/>
          </w:tcPr>
          <w:p w14:paraId="3D95D3D0" w14:textId="63553E72" w:rsidR="004F48D0" w:rsidRPr="0072563F" w:rsidRDefault="004F48D0" w:rsidP="004F48D0">
            <w:pPr>
              <w:jc w:val="center"/>
              <w:rPr>
                <w:rFonts w:asciiTheme="minorHAnsi" w:hAnsiTheme="minorHAnsi" w:cs="Arial"/>
                <w:sz w:val="18"/>
                <w:szCs w:val="18"/>
              </w:rPr>
            </w:pPr>
            <w:r w:rsidRPr="0072563F">
              <w:rPr>
                <w:rFonts w:asciiTheme="minorHAnsi" w:hAnsiTheme="minorHAnsi" w:cs="Arial"/>
                <w:bCs/>
                <w:sz w:val="18"/>
                <w:szCs w:val="18"/>
              </w:rPr>
              <w:t>3 852,00</w:t>
            </w:r>
          </w:p>
        </w:tc>
        <w:tc>
          <w:tcPr>
            <w:tcW w:w="2122" w:type="dxa"/>
            <w:tcBorders>
              <w:top w:val="single" w:sz="4" w:space="0" w:color="auto"/>
              <w:left w:val="single" w:sz="8" w:space="0" w:color="auto"/>
              <w:bottom w:val="single" w:sz="8" w:space="0" w:color="auto"/>
              <w:right w:val="single" w:sz="8" w:space="0" w:color="auto"/>
            </w:tcBorders>
            <w:vAlign w:val="center"/>
          </w:tcPr>
          <w:p w14:paraId="37EB9852" w14:textId="66149D08" w:rsidR="004F48D0" w:rsidRPr="0072563F" w:rsidRDefault="004D02D5" w:rsidP="004F48D0">
            <w:pPr>
              <w:ind w:left="-208"/>
              <w:jc w:val="center"/>
              <w:rPr>
                <w:rFonts w:asciiTheme="minorHAnsi" w:hAnsiTheme="minorHAnsi" w:cs="Arial"/>
                <w:b/>
                <w:bCs/>
                <w:sz w:val="18"/>
                <w:szCs w:val="18"/>
              </w:rPr>
            </w:pPr>
            <w:r w:rsidRPr="0072563F">
              <w:rPr>
                <w:rFonts w:asciiTheme="minorHAnsi" w:hAnsiTheme="minorHAnsi" w:cs="Arial"/>
                <w:b/>
                <w:bCs/>
                <w:sz w:val="18"/>
                <w:szCs w:val="18"/>
              </w:rPr>
              <w:t>3</w:t>
            </w:r>
            <w:r w:rsidR="0072563F" w:rsidRPr="0072563F">
              <w:rPr>
                <w:rFonts w:asciiTheme="minorHAnsi" w:hAnsiTheme="minorHAnsi" w:cs="Arial"/>
                <w:b/>
                <w:bCs/>
                <w:sz w:val="18"/>
                <w:szCs w:val="18"/>
              </w:rPr>
              <w:t xml:space="preserve"> </w:t>
            </w:r>
            <w:r w:rsidRPr="0072563F">
              <w:rPr>
                <w:rFonts w:asciiTheme="minorHAnsi" w:hAnsiTheme="minorHAnsi" w:cs="Arial"/>
                <w:b/>
                <w:bCs/>
                <w:sz w:val="18"/>
                <w:szCs w:val="18"/>
              </w:rPr>
              <w:t>968,00</w:t>
            </w:r>
          </w:p>
        </w:tc>
        <w:tc>
          <w:tcPr>
            <w:tcW w:w="1426" w:type="dxa"/>
            <w:tcBorders>
              <w:top w:val="single" w:sz="4" w:space="0" w:color="auto"/>
              <w:left w:val="single" w:sz="8" w:space="0" w:color="auto"/>
              <w:bottom w:val="single" w:sz="8" w:space="0" w:color="auto"/>
              <w:right w:val="single" w:sz="8" w:space="0" w:color="auto"/>
            </w:tcBorders>
            <w:vAlign w:val="center"/>
          </w:tcPr>
          <w:p w14:paraId="643F5FBF" w14:textId="07965C11" w:rsidR="004F48D0" w:rsidRPr="0072563F" w:rsidRDefault="004F48D0" w:rsidP="004F48D0">
            <w:pPr>
              <w:jc w:val="center"/>
              <w:rPr>
                <w:rFonts w:asciiTheme="minorHAnsi" w:hAnsiTheme="minorHAnsi" w:cs="Arial"/>
                <w:sz w:val="18"/>
                <w:szCs w:val="18"/>
              </w:rPr>
            </w:pPr>
            <w:r w:rsidRPr="0072563F">
              <w:rPr>
                <w:rFonts w:asciiTheme="minorHAnsi" w:hAnsiTheme="minorHAnsi" w:cs="Arial"/>
                <w:bCs/>
                <w:sz w:val="18"/>
                <w:szCs w:val="18"/>
              </w:rPr>
              <w:t>1 032</w:t>
            </w:r>
          </w:p>
        </w:tc>
        <w:tc>
          <w:tcPr>
            <w:tcW w:w="1417" w:type="dxa"/>
            <w:tcBorders>
              <w:top w:val="single" w:sz="4" w:space="0" w:color="auto"/>
              <w:left w:val="single" w:sz="8" w:space="0" w:color="auto"/>
              <w:bottom w:val="single" w:sz="8" w:space="0" w:color="auto"/>
              <w:right w:val="single" w:sz="4" w:space="0" w:color="auto"/>
            </w:tcBorders>
            <w:vAlign w:val="center"/>
          </w:tcPr>
          <w:p w14:paraId="6E491A0B" w14:textId="0C7C02CF" w:rsidR="004F48D0" w:rsidRPr="0072563F" w:rsidRDefault="004D02D5" w:rsidP="004F48D0">
            <w:pPr>
              <w:jc w:val="center"/>
              <w:rPr>
                <w:rFonts w:asciiTheme="minorHAnsi" w:hAnsiTheme="minorHAnsi" w:cs="Arial"/>
                <w:b/>
                <w:bCs/>
                <w:sz w:val="18"/>
                <w:szCs w:val="18"/>
              </w:rPr>
            </w:pPr>
            <w:r w:rsidRPr="0072563F">
              <w:rPr>
                <w:rFonts w:asciiTheme="minorHAnsi" w:hAnsiTheme="minorHAnsi" w:cs="Arial"/>
                <w:b/>
                <w:bCs/>
                <w:sz w:val="18"/>
                <w:szCs w:val="18"/>
              </w:rPr>
              <w:t>1 131</w:t>
            </w:r>
          </w:p>
        </w:tc>
        <w:tc>
          <w:tcPr>
            <w:tcW w:w="1418" w:type="dxa"/>
            <w:tcBorders>
              <w:top w:val="single" w:sz="4" w:space="0" w:color="auto"/>
              <w:left w:val="nil"/>
              <w:bottom w:val="single" w:sz="8" w:space="0" w:color="auto"/>
              <w:right w:val="single" w:sz="8" w:space="0" w:color="auto"/>
            </w:tcBorders>
            <w:vAlign w:val="center"/>
          </w:tcPr>
          <w:p w14:paraId="05791B46" w14:textId="5318A706" w:rsidR="004F48D0" w:rsidRPr="0072563F" w:rsidRDefault="004D02D5" w:rsidP="004F48D0">
            <w:pPr>
              <w:jc w:val="center"/>
              <w:rPr>
                <w:rFonts w:asciiTheme="minorHAnsi" w:hAnsiTheme="minorHAnsi" w:cs="Arial"/>
                <w:sz w:val="18"/>
                <w:szCs w:val="18"/>
              </w:rPr>
            </w:pPr>
            <w:r w:rsidRPr="0072563F">
              <w:rPr>
                <w:rFonts w:asciiTheme="minorHAnsi" w:hAnsiTheme="minorHAnsi" w:cs="Arial"/>
                <w:sz w:val="18"/>
                <w:szCs w:val="18"/>
              </w:rPr>
              <w:t>1 004</w:t>
            </w:r>
          </w:p>
        </w:tc>
      </w:tr>
      <w:tr w:rsidR="004F48D0" w:rsidRPr="00170C87" w14:paraId="0939D237" w14:textId="77777777" w:rsidTr="006C6502">
        <w:trPr>
          <w:trHeight w:val="440"/>
          <w:jc w:val="center"/>
        </w:trPr>
        <w:tc>
          <w:tcPr>
            <w:tcW w:w="2268" w:type="dxa"/>
            <w:tcBorders>
              <w:top w:val="single" w:sz="8" w:space="0" w:color="auto"/>
              <w:left w:val="single" w:sz="8" w:space="0" w:color="auto"/>
              <w:bottom w:val="single" w:sz="8" w:space="0" w:color="auto"/>
              <w:right w:val="single" w:sz="12" w:space="0" w:color="auto"/>
            </w:tcBorders>
            <w:vAlign w:val="center"/>
            <w:hideMark/>
          </w:tcPr>
          <w:p w14:paraId="3F1A296F" w14:textId="77777777" w:rsidR="004F48D0" w:rsidRPr="008262CC" w:rsidRDefault="004F48D0" w:rsidP="004F48D0">
            <w:pPr>
              <w:rPr>
                <w:rFonts w:asciiTheme="minorHAnsi" w:hAnsiTheme="minorHAnsi" w:cs="Arial"/>
                <w:color w:val="000000"/>
                <w:sz w:val="18"/>
                <w:szCs w:val="18"/>
              </w:rPr>
            </w:pPr>
            <w:r>
              <w:rPr>
                <w:rFonts w:asciiTheme="minorHAnsi" w:hAnsiTheme="minorHAnsi" w:cs="Arial"/>
                <w:color w:val="000000"/>
                <w:sz w:val="18"/>
                <w:szCs w:val="18"/>
              </w:rPr>
              <w:t xml:space="preserve">Vítkovice-výzkum a vývoj-technické aplikace a.s. </w:t>
            </w:r>
            <w:r w:rsidRPr="008262CC">
              <w:rPr>
                <w:rFonts w:asciiTheme="minorHAnsi" w:hAnsiTheme="minorHAnsi" w:cs="Arial"/>
                <w:color w:val="000000"/>
                <w:sz w:val="18"/>
                <w:szCs w:val="18"/>
              </w:rPr>
              <w:t xml:space="preserve">         </w:t>
            </w:r>
          </w:p>
        </w:tc>
        <w:tc>
          <w:tcPr>
            <w:tcW w:w="1985" w:type="dxa"/>
            <w:tcBorders>
              <w:top w:val="single" w:sz="8" w:space="0" w:color="auto"/>
              <w:left w:val="single" w:sz="12" w:space="0" w:color="auto"/>
              <w:bottom w:val="single" w:sz="8" w:space="0" w:color="auto"/>
              <w:right w:val="single" w:sz="8" w:space="0" w:color="auto"/>
            </w:tcBorders>
            <w:vAlign w:val="center"/>
          </w:tcPr>
          <w:p w14:paraId="69B464E8" w14:textId="17C791E5" w:rsidR="004F48D0" w:rsidRPr="004F48D0" w:rsidRDefault="004F48D0" w:rsidP="004F48D0">
            <w:pPr>
              <w:jc w:val="center"/>
              <w:rPr>
                <w:rFonts w:asciiTheme="minorHAnsi" w:hAnsiTheme="minorHAnsi" w:cs="Arial"/>
                <w:color w:val="808080" w:themeColor="background1" w:themeShade="80"/>
                <w:sz w:val="18"/>
                <w:szCs w:val="18"/>
              </w:rPr>
            </w:pPr>
            <w:r w:rsidRPr="004F48D0">
              <w:rPr>
                <w:rFonts w:asciiTheme="minorHAnsi" w:hAnsiTheme="minorHAnsi" w:cs="Arial"/>
                <w:bCs/>
                <w:i/>
                <w:iCs/>
                <w:sz w:val="18"/>
                <w:szCs w:val="18"/>
              </w:rPr>
              <w:t>50,00</w:t>
            </w:r>
          </w:p>
        </w:tc>
        <w:tc>
          <w:tcPr>
            <w:tcW w:w="2122" w:type="dxa"/>
            <w:tcBorders>
              <w:top w:val="single" w:sz="8" w:space="0" w:color="auto"/>
              <w:left w:val="single" w:sz="8" w:space="0" w:color="auto"/>
              <w:bottom w:val="single" w:sz="8" w:space="0" w:color="auto"/>
              <w:right w:val="single" w:sz="8" w:space="0" w:color="auto"/>
            </w:tcBorders>
            <w:vAlign w:val="center"/>
          </w:tcPr>
          <w:p w14:paraId="48901377" w14:textId="56F65A2F" w:rsidR="004F48D0" w:rsidRPr="004F48D0" w:rsidRDefault="006257A7" w:rsidP="004F48D0">
            <w:pPr>
              <w:ind w:left="-208"/>
              <w:jc w:val="center"/>
              <w:rPr>
                <w:rFonts w:asciiTheme="minorHAnsi" w:hAnsiTheme="minorHAnsi" w:cs="Arial"/>
                <w:b/>
                <w:bCs/>
                <w:i/>
                <w:iCs/>
                <w:color w:val="C00000"/>
                <w:sz w:val="18"/>
                <w:szCs w:val="18"/>
              </w:rPr>
            </w:pPr>
            <w:r w:rsidRPr="00672A2D">
              <w:rPr>
                <w:rFonts w:asciiTheme="minorHAnsi" w:hAnsiTheme="minorHAnsi" w:cs="Arial"/>
                <w:b/>
                <w:bCs/>
                <w:i/>
                <w:iCs/>
                <w:sz w:val="18"/>
                <w:szCs w:val="18"/>
              </w:rPr>
              <w:t>x</w:t>
            </w:r>
          </w:p>
        </w:tc>
        <w:tc>
          <w:tcPr>
            <w:tcW w:w="1426" w:type="dxa"/>
            <w:tcBorders>
              <w:top w:val="single" w:sz="8" w:space="0" w:color="auto"/>
              <w:left w:val="single" w:sz="8" w:space="0" w:color="auto"/>
              <w:bottom w:val="single" w:sz="8" w:space="0" w:color="auto"/>
              <w:right w:val="single" w:sz="8" w:space="0" w:color="auto"/>
            </w:tcBorders>
            <w:vAlign w:val="center"/>
          </w:tcPr>
          <w:p w14:paraId="5A478762" w14:textId="4E31F545" w:rsidR="004F48D0" w:rsidRPr="004F48D0" w:rsidRDefault="004F48D0" w:rsidP="004F48D0">
            <w:pPr>
              <w:jc w:val="center"/>
              <w:rPr>
                <w:rFonts w:asciiTheme="minorHAnsi" w:hAnsiTheme="minorHAnsi" w:cs="Arial"/>
                <w:sz w:val="18"/>
                <w:szCs w:val="18"/>
              </w:rPr>
            </w:pPr>
            <w:r w:rsidRPr="004F48D0">
              <w:rPr>
                <w:rFonts w:asciiTheme="minorHAnsi" w:hAnsiTheme="minorHAnsi" w:cs="Arial"/>
                <w:bCs/>
                <w:i/>
                <w:iCs/>
                <w:sz w:val="18"/>
                <w:szCs w:val="18"/>
              </w:rPr>
              <w:t>6</w:t>
            </w:r>
          </w:p>
        </w:tc>
        <w:tc>
          <w:tcPr>
            <w:tcW w:w="1417" w:type="dxa"/>
            <w:tcBorders>
              <w:top w:val="single" w:sz="8" w:space="0" w:color="auto"/>
              <w:left w:val="single" w:sz="8" w:space="0" w:color="auto"/>
              <w:bottom w:val="single" w:sz="8" w:space="0" w:color="auto"/>
              <w:right w:val="single" w:sz="4" w:space="0" w:color="auto"/>
            </w:tcBorders>
            <w:vAlign w:val="center"/>
          </w:tcPr>
          <w:p w14:paraId="05219B90" w14:textId="329C26A1" w:rsidR="004F48D0" w:rsidRPr="00672A2D" w:rsidRDefault="006257A7" w:rsidP="004F48D0">
            <w:pPr>
              <w:jc w:val="center"/>
              <w:rPr>
                <w:rFonts w:asciiTheme="minorHAnsi" w:hAnsiTheme="minorHAnsi" w:cs="Arial"/>
                <w:b/>
                <w:bCs/>
                <w:i/>
                <w:iCs/>
                <w:sz w:val="18"/>
                <w:szCs w:val="18"/>
              </w:rPr>
            </w:pPr>
            <w:r w:rsidRPr="00672A2D">
              <w:rPr>
                <w:rFonts w:asciiTheme="minorHAnsi" w:hAnsiTheme="minorHAnsi" w:cs="Arial"/>
                <w:b/>
                <w:bCs/>
                <w:i/>
                <w:iCs/>
                <w:sz w:val="18"/>
                <w:szCs w:val="18"/>
              </w:rPr>
              <w:t>x</w:t>
            </w:r>
          </w:p>
        </w:tc>
        <w:tc>
          <w:tcPr>
            <w:tcW w:w="1418" w:type="dxa"/>
            <w:tcBorders>
              <w:top w:val="single" w:sz="8" w:space="0" w:color="auto"/>
              <w:left w:val="nil"/>
              <w:bottom w:val="single" w:sz="8" w:space="0" w:color="auto"/>
              <w:right w:val="single" w:sz="8" w:space="0" w:color="auto"/>
            </w:tcBorders>
            <w:vAlign w:val="center"/>
            <w:hideMark/>
          </w:tcPr>
          <w:p w14:paraId="7559986F" w14:textId="52E494D8" w:rsidR="004F48D0" w:rsidRPr="00672A2D" w:rsidRDefault="006257A7" w:rsidP="004F48D0">
            <w:pPr>
              <w:jc w:val="center"/>
              <w:rPr>
                <w:rFonts w:asciiTheme="minorHAnsi" w:hAnsiTheme="minorHAnsi" w:cs="Arial"/>
                <w:i/>
                <w:iCs/>
                <w:sz w:val="18"/>
                <w:szCs w:val="18"/>
              </w:rPr>
            </w:pPr>
            <w:r w:rsidRPr="00672A2D">
              <w:rPr>
                <w:rFonts w:asciiTheme="minorHAnsi" w:hAnsiTheme="minorHAnsi" w:cs="Arial"/>
                <w:i/>
                <w:iCs/>
                <w:sz w:val="18"/>
                <w:szCs w:val="18"/>
              </w:rPr>
              <w:t>x</w:t>
            </w:r>
          </w:p>
        </w:tc>
      </w:tr>
      <w:tr w:rsidR="004F48D0" w:rsidRPr="008262CC" w14:paraId="4CD2C904" w14:textId="77777777" w:rsidTr="006876FF">
        <w:trPr>
          <w:trHeight w:val="440"/>
          <w:jc w:val="center"/>
        </w:trPr>
        <w:tc>
          <w:tcPr>
            <w:tcW w:w="2268" w:type="dxa"/>
            <w:tcBorders>
              <w:top w:val="single" w:sz="8" w:space="0" w:color="auto"/>
              <w:left w:val="single" w:sz="8" w:space="0" w:color="auto"/>
              <w:bottom w:val="single" w:sz="12" w:space="0" w:color="auto"/>
              <w:right w:val="single" w:sz="12" w:space="0" w:color="auto"/>
            </w:tcBorders>
            <w:vAlign w:val="center"/>
          </w:tcPr>
          <w:p w14:paraId="0A422D13" w14:textId="77777777" w:rsidR="004F48D0" w:rsidRDefault="004F48D0" w:rsidP="004F48D0">
            <w:pPr>
              <w:rPr>
                <w:rFonts w:asciiTheme="minorHAnsi" w:hAnsiTheme="minorHAnsi" w:cs="Arial"/>
                <w:color w:val="000000"/>
                <w:sz w:val="18"/>
                <w:szCs w:val="18"/>
              </w:rPr>
            </w:pPr>
            <w:r>
              <w:rPr>
                <w:rFonts w:asciiTheme="minorHAnsi" w:hAnsiTheme="minorHAnsi" w:cs="Arial"/>
                <w:color w:val="000000"/>
                <w:sz w:val="18"/>
                <w:szCs w:val="18"/>
              </w:rPr>
              <w:t>XZB (</w:t>
            </w:r>
            <w:proofErr w:type="spellStart"/>
            <w:r>
              <w:rPr>
                <w:rFonts w:asciiTheme="minorHAnsi" w:hAnsiTheme="minorHAnsi" w:cs="Arial"/>
                <w:color w:val="000000"/>
                <w:sz w:val="18"/>
                <w:szCs w:val="18"/>
              </w:rPr>
              <w:t>Europe</w:t>
            </w:r>
            <w:proofErr w:type="spellEnd"/>
            <w:r>
              <w:rPr>
                <w:rFonts w:asciiTheme="minorHAnsi" w:hAnsiTheme="minorHAnsi" w:cs="Arial"/>
                <w:color w:val="000000"/>
                <w:sz w:val="18"/>
                <w:szCs w:val="18"/>
              </w:rPr>
              <w:t xml:space="preserve">) s. r. o. </w:t>
            </w:r>
          </w:p>
        </w:tc>
        <w:tc>
          <w:tcPr>
            <w:tcW w:w="1985" w:type="dxa"/>
            <w:tcBorders>
              <w:top w:val="single" w:sz="8" w:space="0" w:color="auto"/>
              <w:left w:val="single" w:sz="12" w:space="0" w:color="auto"/>
              <w:bottom w:val="single" w:sz="12" w:space="0" w:color="auto"/>
              <w:right w:val="single" w:sz="8" w:space="0" w:color="auto"/>
            </w:tcBorders>
            <w:vAlign w:val="center"/>
          </w:tcPr>
          <w:p w14:paraId="27C7E202" w14:textId="2AD7ED85" w:rsidR="004F48D0" w:rsidRPr="004F48D0" w:rsidRDefault="004F48D0" w:rsidP="004F48D0">
            <w:pPr>
              <w:jc w:val="center"/>
              <w:rPr>
                <w:rFonts w:asciiTheme="minorHAnsi" w:hAnsiTheme="minorHAnsi" w:cs="Arial"/>
                <w:sz w:val="18"/>
                <w:szCs w:val="18"/>
              </w:rPr>
            </w:pPr>
            <w:r w:rsidRPr="004F48D0">
              <w:rPr>
                <w:rFonts w:asciiTheme="minorHAnsi" w:hAnsiTheme="minorHAnsi" w:cs="Arial"/>
                <w:bCs/>
                <w:sz w:val="18"/>
                <w:szCs w:val="18"/>
              </w:rPr>
              <w:t>109,00</w:t>
            </w:r>
          </w:p>
        </w:tc>
        <w:tc>
          <w:tcPr>
            <w:tcW w:w="2122" w:type="dxa"/>
            <w:tcBorders>
              <w:top w:val="single" w:sz="8" w:space="0" w:color="auto"/>
              <w:left w:val="single" w:sz="8" w:space="0" w:color="auto"/>
              <w:bottom w:val="single" w:sz="12" w:space="0" w:color="auto"/>
              <w:right w:val="single" w:sz="8" w:space="0" w:color="auto"/>
            </w:tcBorders>
            <w:vAlign w:val="center"/>
          </w:tcPr>
          <w:p w14:paraId="3A3631BB" w14:textId="57949AF7" w:rsidR="004F48D0" w:rsidRPr="008B5897" w:rsidRDefault="008B5897" w:rsidP="004F48D0">
            <w:pPr>
              <w:ind w:left="-208"/>
              <w:jc w:val="center"/>
              <w:rPr>
                <w:rFonts w:asciiTheme="minorHAnsi" w:hAnsiTheme="minorHAnsi" w:cs="Arial"/>
                <w:b/>
                <w:bCs/>
                <w:sz w:val="18"/>
                <w:szCs w:val="18"/>
              </w:rPr>
            </w:pPr>
            <w:r w:rsidRPr="008B5897">
              <w:rPr>
                <w:rFonts w:asciiTheme="minorHAnsi" w:hAnsiTheme="minorHAnsi" w:cs="Arial"/>
                <w:b/>
                <w:bCs/>
                <w:sz w:val="18"/>
                <w:szCs w:val="18"/>
              </w:rPr>
              <w:t>213,05</w:t>
            </w:r>
          </w:p>
        </w:tc>
        <w:tc>
          <w:tcPr>
            <w:tcW w:w="1426" w:type="dxa"/>
            <w:tcBorders>
              <w:top w:val="single" w:sz="8" w:space="0" w:color="auto"/>
              <w:left w:val="single" w:sz="8" w:space="0" w:color="auto"/>
              <w:bottom w:val="single" w:sz="12" w:space="0" w:color="auto"/>
              <w:right w:val="single" w:sz="8" w:space="0" w:color="auto"/>
            </w:tcBorders>
            <w:vAlign w:val="center"/>
          </w:tcPr>
          <w:p w14:paraId="4C1EA5F4" w14:textId="7763111A" w:rsidR="004F48D0" w:rsidRPr="008B5897" w:rsidRDefault="004F48D0" w:rsidP="004F48D0">
            <w:pPr>
              <w:jc w:val="center"/>
              <w:rPr>
                <w:rFonts w:asciiTheme="minorHAnsi" w:hAnsiTheme="minorHAnsi" w:cs="Arial"/>
                <w:sz w:val="18"/>
                <w:szCs w:val="18"/>
              </w:rPr>
            </w:pPr>
            <w:r w:rsidRPr="008B5897">
              <w:rPr>
                <w:rFonts w:asciiTheme="minorHAnsi" w:hAnsiTheme="minorHAnsi" w:cs="Arial"/>
                <w:bCs/>
                <w:sz w:val="18"/>
                <w:szCs w:val="18"/>
              </w:rPr>
              <w:t>12</w:t>
            </w:r>
          </w:p>
        </w:tc>
        <w:tc>
          <w:tcPr>
            <w:tcW w:w="1417" w:type="dxa"/>
            <w:tcBorders>
              <w:top w:val="single" w:sz="8" w:space="0" w:color="auto"/>
              <w:left w:val="single" w:sz="8" w:space="0" w:color="auto"/>
              <w:bottom w:val="single" w:sz="12" w:space="0" w:color="auto"/>
              <w:right w:val="single" w:sz="4" w:space="0" w:color="auto"/>
            </w:tcBorders>
            <w:vAlign w:val="center"/>
          </w:tcPr>
          <w:p w14:paraId="4ED1655F" w14:textId="463E39BD" w:rsidR="004F48D0" w:rsidRPr="008B5897" w:rsidRDefault="008B5897" w:rsidP="004F48D0">
            <w:pPr>
              <w:jc w:val="center"/>
              <w:rPr>
                <w:rFonts w:asciiTheme="minorHAnsi" w:hAnsiTheme="minorHAnsi" w:cs="Arial"/>
                <w:b/>
                <w:bCs/>
                <w:sz w:val="18"/>
                <w:szCs w:val="18"/>
              </w:rPr>
            </w:pPr>
            <w:r w:rsidRPr="008B5897">
              <w:rPr>
                <w:rFonts w:asciiTheme="minorHAnsi" w:hAnsiTheme="minorHAnsi" w:cs="Arial"/>
                <w:b/>
                <w:bCs/>
                <w:sz w:val="18"/>
                <w:szCs w:val="18"/>
              </w:rPr>
              <w:t>14</w:t>
            </w:r>
          </w:p>
        </w:tc>
        <w:tc>
          <w:tcPr>
            <w:tcW w:w="1418" w:type="dxa"/>
            <w:tcBorders>
              <w:top w:val="single" w:sz="8" w:space="0" w:color="auto"/>
              <w:left w:val="nil"/>
              <w:bottom w:val="single" w:sz="12" w:space="0" w:color="auto"/>
              <w:right w:val="single" w:sz="8" w:space="0" w:color="auto"/>
            </w:tcBorders>
            <w:vAlign w:val="center"/>
          </w:tcPr>
          <w:p w14:paraId="522ABE49" w14:textId="363E9E22" w:rsidR="004F48D0" w:rsidRPr="008B5897" w:rsidRDefault="008B5897" w:rsidP="004F48D0">
            <w:pPr>
              <w:jc w:val="center"/>
              <w:rPr>
                <w:rFonts w:asciiTheme="minorHAnsi" w:hAnsiTheme="minorHAnsi" w:cs="Arial"/>
                <w:sz w:val="18"/>
                <w:szCs w:val="18"/>
              </w:rPr>
            </w:pPr>
            <w:r w:rsidRPr="008B5897">
              <w:rPr>
                <w:rFonts w:asciiTheme="minorHAnsi" w:hAnsiTheme="minorHAnsi" w:cs="Arial"/>
                <w:sz w:val="18"/>
                <w:szCs w:val="18"/>
              </w:rPr>
              <w:t>25</w:t>
            </w:r>
          </w:p>
        </w:tc>
      </w:tr>
      <w:tr w:rsidR="004F48D0" w:rsidRPr="00DA1D3B" w14:paraId="6387767D" w14:textId="77777777" w:rsidTr="00BA6E97">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14:paraId="4D7677C4" w14:textId="77777777" w:rsidR="004F48D0" w:rsidRPr="008262CC" w:rsidRDefault="004F48D0" w:rsidP="004F48D0">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14:paraId="54DD87D3" w14:textId="3486A932" w:rsidR="004F48D0" w:rsidRPr="004F48D0" w:rsidRDefault="004F48D0" w:rsidP="004F48D0">
            <w:pPr>
              <w:jc w:val="center"/>
              <w:rPr>
                <w:rFonts w:asciiTheme="minorHAnsi" w:hAnsiTheme="minorHAnsi" w:cs="Arial"/>
                <w:color w:val="808080" w:themeColor="background1" w:themeShade="80"/>
                <w:sz w:val="18"/>
                <w:szCs w:val="18"/>
              </w:rPr>
            </w:pPr>
            <w:r w:rsidRPr="004F48D0">
              <w:rPr>
                <w:rFonts w:asciiTheme="minorHAnsi" w:hAnsiTheme="minorHAnsi" w:cs="Arial"/>
                <w:bCs/>
                <w:sz w:val="18"/>
                <w:szCs w:val="18"/>
              </w:rPr>
              <w:t>14 778,42</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14:paraId="51B07986" w14:textId="23159062" w:rsidR="004F48D0" w:rsidRPr="00947F42" w:rsidRDefault="00947F42" w:rsidP="004F48D0">
            <w:pPr>
              <w:ind w:left="-208"/>
              <w:jc w:val="center"/>
              <w:rPr>
                <w:rFonts w:asciiTheme="minorHAnsi" w:hAnsiTheme="minorHAnsi" w:cs="Arial"/>
                <w:b/>
                <w:bCs/>
                <w:color w:val="C00000"/>
                <w:sz w:val="18"/>
                <w:szCs w:val="18"/>
              </w:rPr>
            </w:pPr>
            <w:r w:rsidRPr="00947F42">
              <w:rPr>
                <w:rFonts w:asciiTheme="minorHAnsi" w:hAnsiTheme="minorHAnsi" w:cs="Arial"/>
                <w:b/>
                <w:bCs/>
                <w:sz w:val="18"/>
                <w:szCs w:val="18"/>
              </w:rPr>
              <w:t>15 704,53</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14:paraId="7A32FBA4" w14:textId="028DB131" w:rsidR="004F48D0" w:rsidRPr="004F48D0" w:rsidRDefault="004F48D0" w:rsidP="004F48D0">
            <w:pPr>
              <w:jc w:val="center"/>
              <w:rPr>
                <w:rFonts w:asciiTheme="minorHAnsi" w:hAnsiTheme="minorHAnsi" w:cs="Arial"/>
                <w:color w:val="808080" w:themeColor="background1" w:themeShade="80"/>
                <w:sz w:val="18"/>
                <w:szCs w:val="18"/>
              </w:rPr>
            </w:pPr>
            <w:r w:rsidRPr="004F48D0">
              <w:rPr>
                <w:rFonts w:asciiTheme="minorHAnsi" w:hAnsiTheme="minorHAnsi" w:cs="Arial"/>
                <w:bCs/>
                <w:sz w:val="18"/>
                <w:szCs w:val="18"/>
              </w:rPr>
              <w:t>3 705</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14:paraId="10ECCD59" w14:textId="23224094" w:rsidR="004F48D0" w:rsidRPr="004F48D0" w:rsidRDefault="00A26955" w:rsidP="004F48D0">
            <w:pPr>
              <w:jc w:val="center"/>
              <w:rPr>
                <w:rFonts w:asciiTheme="minorHAnsi" w:hAnsiTheme="minorHAnsi" w:cs="Arial"/>
                <w:b/>
                <w:bCs/>
                <w:color w:val="C00000"/>
                <w:sz w:val="18"/>
                <w:szCs w:val="18"/>
              </w:rPr>
            </w:pPr>
            <w:r w:rsidRPr="00A26955">
              <w:rPr>
                <w:rFonts w:asciiTheme="minorHAnsi" w:hAnsiTheme="minorHAnsi" w:cs="Arial"/>
                <w:b/>
                <w:bCs/>
                <w:sz w:val="18"/>
                <w:szCs w:val="18"/>
              </w:rPr>
              <w:t>3 864</w:t>
            </w:r>
          </w:p>
        </w:tc>
        <w:tc>
          <w:tcPr>
            <w:tcW w:w="1418" w:type="dxa"/>
            <w:tcBorders>
              <w:top w:val="single" w:sz="12" w:space="0" w:color="auto"/>
              <w:left w:val="nil"/>
              <w:bottom w:val="single" w:sz="8" w:space="0" w:color="auto"/>
              <w:right w:val="single" w:sz="8" w:space="0" w:color="auto"/>
            </w:tcBorders>
            <w:shd w:val="clear" w:color="auto" w:fill="D9D9D9"/>
            <w:vAlign w:val="center"/>
          </w:tcPr>
          <w:p w14:paraId="678E9217" w14:textId="5D4B7E80" w:rsidR="004F48D0" w:rsidRPr="004F48D0" w:rsidRDefault="004F48D0" w:rsidP="002C3AD2">
            <w:pPr>
              <w:jc w:val="center"/>
              <w:rPr>
                <w:rFonts w:asciiTheme="minorHAnsi" w:hAnsiTheme="minorHAnsi" w:cs="Arial"/>
                <w:bCs/>
                <w:color w:val="C00000"/>
                <w:sz w:val="18"/>
                <w:szCs w:val="18"/>
              </w:rPr>
            </w:pPr>
            <w:r w:rsidRPr="002C3AD2">
              <w:rPr>
                <w:rFonts w:asciiTheme="minorHAnsi" w:hAnsiTheme="minorHAnsi" w:cs="Arial"/>
                <w:bCs/>
                <w:sz w:val="18"/>
                <w:szCs w:val="18"/>
              </w:rPr>
              <w:t xml:space="preserve">3 </w:t>
            </w:r>
            <w:r w:rsidR="002C3AD2" w:rsidRPr="002C3AD2">
              <w:rPr>
                <w:rFonts w:asciiTheme="minorHAnsi" w:hAnsiTheme="minorHAnsi" w:cs="Arial"/>
                <w:bCs/>
                <w:sz w:val="18"/>
                <w:szCs w:val="18"/>
              </w:rPr>
              <w:t>722</w:t>
            </w:r>
          </w:p>
        </w:tc>
      </w:tr>
    </w:tbl>
    <w:p w14:paraId="5ED97618" w14:textId="77777777" w:rsidR="000F119F" w:rsidRPr="008262CC" w:rsidRDefault="000F119F" w:rsidP="000F119F">
      <w:pPr>
        <w:spacing w:before="60"/>
        <w:jc w:val="both"/>
        <w:rPr>
          <w:rFonts w:asciiTheme="minorHAnsi" w:hAnsiTheme="minorHAnsi" w:cs="Arial"/>
          <w:sz w:val="16"/>
          <w:szCs w:val="16"/>
        </w:rPr>
      </w:pPr>
      <w:r w:rsidRPr="008262CC">
        <w:rPr>
          <w:rFonts w:asciiTheme="minorHAnsi" w:hAnsiTheme="minorHAnsi" w:cs="Arial"/>
          <w:sz w:val="16"/>
          <w:szCs w:val="16"/>
        </w:rPr>
        <w:t>Zdroj: jednotliví investoři</w:t>
      </w:r>
    </w:p>
    <w:p w14:paraId="57946B02" w14:textId="145DA738" w:rsidR="000F119F" w:rsidRDefault="000F119F" w:rsidP="000F119F">
      <w:pPr>
        <w:jc w:val="both"/>
        <w:rPr>
          <w:rFonts w:asciiTheme="minorHAnsi" w:hAnsiTheme="minorHAnsi" w:cs="Arial"/>
          <w:sz w:val="16"/>
          <w:szCs w:val="16"/>
        </w:rPr>
      </w:pPr>
      <w:r w:rsidRPr="008262CC">
        <w:rPr>
          <w:rFonts w:asciiTheme="minorHAnsi" w:hAnsiTheme="minorHAnsi" w:cs="Arial"/>
          <w:sz w:val="16"/>
          <w:szCs w:val="16"/>
        </w:rPr>
        <w:t xml:space="preserve">* </w:t>
      </w:r>
      <w:r w:rsidRPr="008262CC">
        <w:rPr>
          <w:rFonts w:asciiTheme="minorHAnsi" w:hAnsiTheme="minorHAnsi" w:cs="Arial"/>
          <w:sz w:val="16"/>
          <w:szCs w:val="16"/>
        </w:rPr>
        <w:tab/>
      </w:r>
      <w:r w:rsidR="00AD1700">
        <w:rPr>
          <w:rFonts w:asciiTheme="minorHAnsi" w:hAnsiTheme="minorHAnsi" w:cs="Arial"/>
          <w:sz w:val="16"/>
          <w:szCs w:val="16"/>
        </w:rPr>
        <w:t xml:space="preserve">stav pracovních míst </w:t>
      </w:r>
      <w:r w:rsidR="00753677">
        <w:rPr>
          <w:rFonts w:asciiTheme="minorHAnsi" w:hAnsiTheme="minorHAnsi" w:cs="Arial"/>
          <w:sz w:val="16"/>
          <w:szCs w:val="16"/>
        </w:rPr>
        <w:t>–</w:t>
      </w:r>
      <w:r w:rsidR="00AD1700">
        <w:rPr>
          <w:rFonts w:asciiTheme="minorHAnsi" w:hAnsiTheme="minorHAnsi" w:cs="Arial"/>
          <w:sz w:val="16"/>
          <w:szCs w:val="16"/>
        </w:rPr>
        <w:t xml:space="preserve"> číslo za lomítkem vyčísluje počet agenturních zaměstnanců z celkového uvedeného počtu </w:t>
      </w:r>
    </w:p>
    <w:p w14:paraId="5C886ECE" w14:textId="29328475" w:rsidR="00F175F8" w:rsidRDefault="00F175F8" w:rsidP="000F119F">
      <w:pPr>
        <w:jc w:val="both"/>
        <w:rPr>
          <w:rFonts w:asciiTheme="minorHAnsi" w:hAnsiTheme="minorHAnsi" w:cs="Arial"/>
          <w:sz w:val="16"/>
          <w:szCs w:val="16"/>
        </w:rPr>
      </w:pPr>
      <w:r>
        <w:rPr>
          <w:rFonts w:asciiTheme="minorHAnsi" w:hAnsiTheme="minorHAnsi" w:cs="Arial"/>
          <w:sz w:val="16"/>
          <w:szCs w:val="16"/>
        </w:rPr>
        <w:t>x</w:t>
      </w:r>
      <w:r>
        <w:rPr>
          <w:rFonts w:asciiTheme="minorHAnsi" w:hAnsiTheme="minorHAnsi" w:cs="Arial"/>
          <w:sz w:val="16"/>
          <w:szCs w:val="16"/>
        </w:rPr>
        <w:tab/>
      </w:r>
      <w:r w:rsidR="00365B4A">
        <w:rPr>
          <w:rFonts w:asciiTheme="minorHAnsi" w:hAnsiTheme="minorHAnsi" w:cs="Arial"/>
          <w:sz w:val="16"/>
          <w:szCs w:val="16"/>
        </w:rPr>
        <w:t xml:space="preserve">Vítkovice-výzkum a vývoj-technické aplikace </w:t>
      </w:r>
      <w:r w:rsidR="00753677">
        <w:rPr>
          <w:rFonts w:asciiTheme="minorHAnsi" w:hAnsiTheme="minorHAnsi" w:cs="Arial"/>
          <w:sz w:val="16"/>
          <w:szCs w:val="16"/>
        </w:rPr>
        <w:t xml:space="preserve">– </w:t>
      </w:r>
      <w:r>
        <w:rPr>
          <w:rFonts w:asciiTheme="minorHAnsi" w:hAnsiTheme="minorHAnsi" w:cs="Arial"/>
          <w:sz w:val="16"/>
          <w:szCs w:val="16"/>
        </w:rPr>
        <w:t xml:space="preserve">neevidováno, probíhá soudní řízení </w:t>
      </w:r>
      <w:r w:rsidR="00753677">
        <w:rPr>
          <w:rFonts w:asciiTheme="minorHAnsi" w:hAnsiTheme="minorHAnsi" w:cs="Arial"/>
          <w:sz w:val="16"/>
          <w:szCs w:val="16"/>
        </w:rPr>
        <w:t>–</w:t>
      </w:r>
      <w:r>
        <w:rPr>
          <w:rFonts w:asciiTheme="minorHAnsi" w:hAnsiTheme="minorHAnsi" w:cs="Arial"/>
          <w:sz w:val="16"/>
          <w:szCs w:val="16"/>
        </w:rPr>
        <w:t xml:space="preserve"> viz odstavec Investoři str. 3</w:t>
      </w:r>
    </w:p>
    <w:p w14:paraId="73DA01F7" w14:textId="4C99CEDE" w:rsidR="00AD1700" w:rsidRDefault="00753677" w:rsidP="000F119F">
      <w:pPr>
        <w:jc w:val="both"/>
        <w:rPr>
          <w:rFonts w:asciiTheme="minorHAnsi" w:hAnsiTheme="minorHAnsi" w:cs="Arial"/>
          <w:sz w:val="16"/>
          <w:szCs w:val="16"/>
        </w:rPr>
      </w:pPr>
      <w:r>
        <w:rPr>
          <w:rFonts w:asciiTheme="minorHAnsi" w:hAnsiTheme="minorHAnsi" w:cs="Arial"/>
          <w:sz w:val="16"/>
          <w:szCs w:val="16"/>
        </w:rPr>
        <w:tab/>
        <w:t xml:space="preserve">ENES </w:t>
      </w:r>
      <w:proofErr w:type="spellStart"/>
      <w:r>
        <w:rPr>
          <w:rFonts w:asciiTheme="minorHAnsi" w:hAnsiTheme="minorHAnsi" w:cs="Arial"/>
          <w:sz w:val="16"/>
          <w:szCs w:val="16"/>
        </w:rPr>
        <w:t>Cargo</w:t>
      </w:r>
      <w:proofErr w:type="spellEnd"/>
      <w:r>
        <w:rPr>
          <w:rFonts w:asciiTheme="minorHAnsi" w:hAnsiTheme="minorHAnsi" w:cs="Arial"/>
          <w:sz w:val="16"/>
          <w:szCs w:val="16"/>
        </w:rPr>
        <w:t xml:space="preserve"> – přesun ze strategické průmyslové zóny na pozemky MSK</w:t>
      </w:r>
    </w:p>
    <w:p w14:paraId="0D8A638F" w14:textId="77777777" w:rsidR="006C6502" w:rsidRPr="008262CC" w:rsidRDefault="006C6502" w:rsidP="000F119F">
      <w:pPr>
        <w:jc w:val="both"/>
        <w:rPr>
          <w:rFonts w:asciiTheme="minorHAnsi" w:hAnsiTheme="minorHAnsi" w:cs="Arial"/>
          <w:sz w:val="16"/>
          <w:szCs w:val="16"/>
        </w:rPr>
      </w:pPr>
    </w:p>
    <w:p w14:paraId="111A1E1F" w14:textId="77777777" w:rsidR="00EB471E" w:rsidRPr="008262CC" w:rsidRDefault="00CB67A7" w:rsidP="00FD1CD7">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strategická </w:t>
      </w:r>
      <w:r w:rsidR="00EB471E" w:rsidRPr="008262CC">
        <w:rPr>
          <w:rFonts w:asciiTheme="minorHAnsi" w:hAnsiTheme="minorHAnsi" w:cs="Arial"/>
          <w:sz w:val="20"/>
          <w:szCs w:val="20"/>
        </w:rPr>
        <w:t xml:space="preserve">průmyslová zóna </w:t>
      </w:r>
      <w:r w:rsidR="00567EFA" w:rsidRPr="008262CC">
        <w:rPr>
          <w:rFonts w:asciiTheme="minorHAnsi" w:hAnsiTheme="minorHAnsi" w:cs="Arial"/>
          <w:sz w:val="20"/>
          <w:szCs w:val="20"/>
        </w:rPr>
        <w:t xml:space="preserve">o rozloze 200 ha </w:t>
      </w:r>
      <w:r>
        <w:rPr>
          <w:rFonts w:asciiTheme="minorHAnsi" w:hAnsiTheme="minorHAnsi" w:cs="Arial"/>
          <w:sz w:val="20"/>
          <w:szCs w:val="20"/>
        </w:rPr>
        <w:t>je součástí průmyslového areálu o celkové ploše 292 ha</w:t>
      </w:r>
      <w:r w:rsidR="00A74306">
        <w:rPr>
          <w:rFonts w:asciiTheme="minorHAnsi" w:hAnsiTheme="minorHAnsi" w:cs="Arial"/>
          <w:sz w:val="20"/>
          <w:szCs w:val="20"/>
        </w:rPr>
        <w:t xml:space="preserve">; </w:t>
      </w:r>
      <w:r w:rsidR="00B70FAD">
        <w:rPr>
          <w:rFonts w:asciiTheme="minorHAnsi" w:hAnsiTheme="minorHAnsi" w:cs="Arial"/>
          <w:sz w:val="20"/>
          <w:szCs w:val="20"/>
        </w:rPr>
        <w:t xml:space="preserve">výstavba technické infrastruktury probíhající zejména v letech 2007 - 2012 ve Strategické průmyslové zóně Ostrava - Mošnov byla podporována z dotačního Programu na podporu podnikatelských nemovitostí a infrastruktury pod záštitou </w:t>
      </w:r>
      <w:r w:rsidR="00B70FAD" w:rsidRPr="008262CC">
        <w:rPr>
          <w:rFonts w:asciiTheme="minorHAnsi" w:hAnsiTheme="minorHAnsi" w:cs="Arial"/>
          <w:sz w:val="20"/>
          <w:szCs w:val="20"/>
        </w:rPr>
        <w:t>Minis</w:t>
      </w:r>
      <w:r w:rsidR="00B70FAD">
        <w:rPr>
          <w:rFonts w:asciiTheme="minorHAnsi" w:hAnsiTheme="minorHAnsi" w:cs="Arial"/>
          <w:sz w:val="20"/>
          <w:szCs w:val="20"/>
        </w:rPr>
        <w:t>terstva průmyslu a obchodu ČR</w:t>
      </w:r>
      <w:r w:rsidR="00A93681">
        <w:rPr>
          <w:rFonts w:asciiTheme="minorHAnsi" w:hAnsiTheme="minorHAnsi" w:cs="Arial"/>
          <w:sz w:val="20"/>
          <w:szCs w:val="20"/>
        </w:rPr>
        <w:t xml:space="preserve"> a nyní běží udržitelnost projektu, a to min. do 31. 12. 2026;</w:t>
      </w:r>
    </w:p>
    <w:p w14:paraId="32025571" w14:textId="17CC5E4D" w:rsidR="00E841EA" w:rsidRDefault="00A93681" w:rsidP="0079753E">
      <w:pPr>
        <w:pStyle w:val="Zkladntext"/>
        <w:numPr>
          <w:ilvl w:val="0"/>
          <w:numId w:val="2"/>
        </w:numPr>
        <w:spacing w:before="120" w:after="120"/>
        <w:ind w:left="284" w:hanging="284"/>
        <w:rPr>
          <w:rFonts w:asciiTheme="minorHAnsi" w:hAnsiTheme="minorHAnsi" w:cs="Arial"/>
          <w:sz w:val="20"/>
          <w:szCs w:val="20"/>
        </w:rPr>
      </w:pPr>
      <w:r>
        <w:rPr>
          <w:rFonts w:asciiTheme="minorHAnsi" w:hAnsiTheme="minorHAnsi" w:cs="Arial"/>
          <w:sz w:val="20"/>
          <w:szCs w:val="20"/>
        </w:rPr>
        <w:t>volná kapacita pro vstup nových investorů činí 5</w:t>
      </w:r>
      <w:r w:rsidR="001E15BF">
        <w:rPr>
          <w:rFonts w:asciiTheme="minorHAnsi" w:hAnsiTheme="minorHAnsi" w:cs="Arial"/>
          <w:sz w:val="20"/>
          <w:szCs w:val="20"/>
        </w:rPr>
        <w:t>3</w:t>
      </w:r>
      <w:r>
        <w:rPr>
          <w:rFonts w:asciiTheme="minorHAnsi" w:hAnsiTheme="minorHAnsi" w:cs="Arial"/>
          <w:sz w:val="20"/>
          <w:szCs w:val="20"/>
        </w:rPr>
        <w:t xml:space="preserve"> ha, </w:t>
      </w:r>
      <w:r w:rsidR="001E15BF">
        <w:rPr>
          <w:rFonts w:asciiTheme="minorHAnsi" w:hAnsiTheme="minorHAnsi" w:cs="Arial"/>
          <w:sz w:val="20"/>
          <w:szCs w:val="20"/>
        </w:rPr>
        <w:t>jedná se o tzv. plochu „K“</w:t>
      </w:r>
      <w:r>
        <w:rPr>
          <w:rFonts w:asciiTheme="minorHAnsi" w:hAnsiTheme="minorHAnsi" w:cs="Arial"/>
          <w:sz w:val="20"/>
          <w:szCs w:val="20"/>
        </w:rPr>
        <w:t xml:space="preserve"> pod realizovaným multimodálním centrem o velikosti </w:t>
      </w:r>
      <w:r w:rsidRPr="005502A3">
        <w:rPr>
          <w:rFonts w:asciiTheme="minorHAnsi" w:hAnsiTheme="minorHAnsi" w:cs="Arial"/>
          <w:sz w:val="20"/>
          <w:szCs w:val="20"/>
        </w:rPr>
        <w:t xml:space="preserve">50 ha </w:t>
      </w:r>
      <w:r>
        <w:rPr>
          <w:rFonts w:asciiTheme="minorHAnsi" w:hAnsiTheme="minorHAnsi" w:cs="Arial"/>
          <w:sz w:val="20"/>
          <w:szCs w:val="20"/>
        </w:rPr>
        <w:t xml:space="preserve">a zbývající plochu navazující severně na investora </w:t>
      </w:r>
      <w:proofErr w:type="spellStart"/>
      <w:r>
        <w:rPr>
          <w:rFonts w:asciiTheme="minorHAnsi" w:hAnsiTheme="minorHAnsi" w:cs="Arial"/>
          <w:sz w:val="20"/>
          <w:szCs w:val="20"/>
        </w:rPr>
        <w:t>Mobis</w:t>
      </w:r>
      <w:proofErr w:type="spellEnd"/>
      <w:r>
        <w:rPr>
          <w:rFonts w:asciiTheme="minorHAnsi" w:hAnsiTheme="minorHAnsi" w:cs="Arial"/>
          <w:sz w:val="20"/>
          <w:szCs w:val="20"/>
        </w:rPr>
        <w:t xml:space="preserve"> (tzv. plocha „B“)</w:t>
      </w:r>
      <w:r w:rsidR="00C31DEC">
        <w:rPr>
          <w:rFonts w:asciiTheme="minorHAnsi" w:hAnsiTheme="minorHAnsi" w:cs="Arial"/>
          <w:sz w:val="20"/>
          <w:szCs w:val="20"/>
        </w:rPr>
        <w:t xml:space="preserve">; </w:t>
      </w:r>
      <w:r w:rsidR="00C31DEC" w:rsidRPr="00C76F7D">
        <w:rPr>
          <w:rFonts w:asciiTheme="minorHAnsi" w:hAnsiTheme="minorHAnsi" w:cs="Arial"/>
          <w:b/>
          <w:sz w:val="20"/>
          <w:szCs w:val="20"/>
        </w:rPr>
        <w:t xml:space="preserve">výše investovaných prostředků ze strany společností umístěných v lokalitě SPZ </w:t>
      </w:r>
      <w:r w:rsidR="006A7E4A" w:rsidRPr="00C76F7D">
        <w:rPr>
          <w:rFonts w:asciiTheme="minorHAnsi" w:hAnsiTheme="minorHAnsi" w:cs="Arial"/>
          <w:b/>
          <w:sz w:val="20"/>
          <w:szCs w:val="20"/>
        </w:rPr>
        <w:t xml:space="preserve">činila </w:t>
      </w:r>
      <w:r w:rsidR="007A642E">
        <w:rPr>
          <w:rFonts w:asciiTheme="minorHAnsi" w:hAnsiTheme="minorHAnsi" w:cs="Arial"/>
          <w:b/>
          <w:sz w:val="20"/>
          <w:szCs w:val="20"/>
        </w:rPr>
        <w:br/>
      </w:r>
      <w:r w:rsidR="00A87994" w:rsidRPr="00C76F7D">
        <w:rPr>
          <w:rFonts w:asciiTheme="minorHAnsi" w:hAnsiTheme="minorHAnsi" w:cs="Arial"/>
          <w:b/>
          <w:sz w:val="20"/>
          <w:szCs w:val="20"/>
        </w:rPr>
        <w:t>k</w:t>
      </w:r>
      <w:r w:rsidR="001771AD">
        <w:rPr>
          <w:rFonts w:asciiTheme="minorHAnsi" w:hAnsiTheme="minorHAnsi" w:cs="Arial"/>
          <w:b/>
          <w:sz w:val="20"/>
          <w:szCs w:val="20"/>
        </w:rPr>
        <w:t> </w:t>
      </w:r>
      <w:r w:rsidR="00F145E9">
        <w:rPr>
          <w:rFonts w:asciiTheme="minorHAnsi" w:hAnsiTheme="minorHAnsi" w:cs="Arial"/>
          <w:b/>
          <w:sz w:val="20"/>
          <w:szCs w:val="20"/>
        </w:rPr>
        <w:t>3</w:t>
      </w:r>
      <w:r w:rsidR="001E15BF">
        <w:rPr>
          <w:rFonts w:asciiTheme="minorHAnsi" w:hAnsiTheme="minorHAnsi" w:cs="Arial"/>
          <w:b/>
          <w:sz w:val="20"/>
          <w:szCs w:val="20"/>
        </w:rPr>
        <w:t>1</w:t>
      </w:r>
      <w:r w:rsidR="001771AD">
        <w:rPr>
          <w:rFonts w:asciiTheme="minorHAnsi" w:hAnsiTheme="minorHAnsi" w:cs="Arial"/>
          <w:b/>
          <w:sz w:val="20"/>
          <w:szCs w:val="20"/>
        </w:rPr>
        <w:t xml:space="preserve">. </w:t>
      </w:r>
      <w:r w:rsidR="001E15BF">
        <w:rPr>
          <w:rFonts w:asciiTheme="minorHAnsi" w:hAnsiTheme="minorHAnsi" w:cs="Arial"/>
          <w:b/>
          <w:sz w:val="20"/>
          <w:szCs w:val="20"/>
        </w:rPr>
        <w:t>12</w:t>
      </w:r>
      <w:r w:rsidR="001771AD">
        <w:rPr>
          <w:rFonts w:asciiTheme="minorHAnsi" w:hAnsiTheme="minorHAnsi" w:cs="Arial"/>
          <w:b/>
          <w:sz w:val="20"/>
          <w:szCs w:val="20"/>
        </w:rPr>
        <w:t>. 20</w:t>
      </w:r>
      <w:r w:rsidR="00F145E9">
        <w:rPr>
          <w:rFonts w:asciiTheme="minorHAnsi" w:hAnsiTheme="minorHAnsi" w:cs="Arial"/>
          <w:b/>
          <w:sz w:val="20"/>
          <w:szCs w:val="20"/>
        </w:rPr>
        <w:t>20</w:t>
      </w:r>
      <w:r w:rsidR="00A87994" w:rsidRPr="00C76F7D">
        <w:rPr>
          <w:rFonts w:asciiTheme="minorHAnsi" w:hAnsiTheme="minorHAnsi" w:cs="Arial"/>
          <w:b/>
          <w:sz w:val="20"/>
          <w:szCs w:val="20"/>
        </w:rPr>
        <w:t xml:space="preserve"> </w:t>
      </w:r>
      <w:r w:rsidR="00A74306" w:rsidRPr="00C76F7D">
        <w:rPr>
          <w:rFonts w:asciiTheme="minorHAnsi" w:hAnsiTheme="minorHAnsi" w:cs="Arial"/>
          <w:b/>
          <w:sz w:val="20"/>
          <w:szCs w:val="20"/>
        </w:rPr>
        <w:t xml:space="preserve">cca </w:t>
      </w:r>
      <w:r w:rsidR="001E15BF">
        <w:rPr>
          <w:rFonts w:asciiTheme="minorHAnsi" w:hAnsiTheme="minorHAnsi" w:cs="Arial"/>
          <w:b/>
          <w:sz w:val="20"/>
          <w:szCs w:val="20"/>
        </w:rPr>
        <w:t>15,7</w:t>
      </w:r>
      <w:r w:rsidR="00C31DEC" w:rsidRPr="00C76F7D">
        <w:rPr>
          <w:rFonts w:asciiTheme="minorHAnsi" w:hAnsiTheme="minorHAnsi" w:cs="Arial"/>
          <w:b/>
          <w:sz w:val="20"/>
          <w:szCs w:val="20"/>
        </w:rPr>
        <w:t xml:space="preserve"> mld. Kč</w:t>
      </w:r>
      <w:r w:rsidR="00802B4A" w:rsidRPr="00C76F7D">
        <w:rPr>
          <w:rFonts w:asciiTheme="minorHAnsi" w:hAnsiTheme="minorHAnsi" w:cs="Arial"/>
          <w:b/>
          <w:sz w:val="20"/>
          <w:szCs w:val="20"/>
        </w:rPr>
        <w:t xml:space="preserve"> </w:t>
      </w:r>
      <w:r w:rsidR="00C31DEC" w:rsidRPr="00C76F7D">
        <w:rPr>
          <w:rFonts w:asciiTheme="minorHAnsi" w:hAnsiTheme="minorHAnsi" w:cs="Arial"/>
          <w:b/>
          <w:sz w:val="20"/>
          <w:szCs w:val="20"/>
        </w:rPr>
        <w:t xml:space="preserve">a </w:t>
      </w:r>
      <w:r w:rsidR="0079753E" w:rsidRPr="00C76F7D">
        <w:rPr>
          <w:rFonts w:asciiTheme="minorHAnsi" w:hAnsiTheme="minorHAnsi" w:cs="Arial"/>
          <w:b/>
          <w:sz w:val="20"/>
          <w:szCs w:val="20"/>
        </w:rPr>
        <w:t xml:space="preserve">ke sledovanému datu bylo evidováno </w:t>
      </w:r>
      <w:r w:rsidR="000F4835">
        <w:rPr>
          <w:rFonts w:asciiTheme="minorHAnsi" w:hAnsiTheme="minorHAnsi" w:cs="Arial"/>
          <w:b/>
          <w:sz w:val="20"/>
          <w:szCs w:val="20"/>
        </w:rPr>
        <w:t xml:space="preserve">3 </w:t>
      </w:r>
      <w:r w:rsidR="001E15BF">
        <w:rPr>
          <w:rFonts w:asciiTheme="minorHAnsi" w:hAnsiTheme="minorHAnsi" w:cs="Arial"/>
          <w:b/>
          <w:sz w:val="20"/>
          <w:szCs w:val="20"/>
        </w:rPr>
        <w:t>864</w:t>
      </w:r>
      <w:r w:rsidR="0079753E" w:rsidRPr="00C76F7D">
        <w:rPr>
          <w:rFonts w:asciiTheme="minorHAnsi" w:hAnsiTheme="minorHAnsi" w:cs="Arial"/>
          <w:b/>
          <w:sz w:val="20"/>
          <w:szCs w:val="20"/>
        </w:rPr>
        <w:t xml:space="preserve"> pracovních </w:t>
      </w:r>
      <w:r w:rsidR="001771AD">
        <w:rPr>
          <w:rFonts w:asciiTheme="minorHAnsi" w:hAnsiTheme="minorHAnsi" w:cs="Arial"/>
          <w:b/>
          <w:sz w:val="20"/>
          <w:szCs w:val="20"/>
        </w:rPr>
        <w:t>míst</w:t>
      </w:r>
      <w:r w:rsidR="005D325E">
        <w:rPr>
          <w:rFonts w:asciiTheme="minorHAnsi" w:hAnsiTheme="minorHAnsi" w:cs="Arial"/>
          <w:sz w:val="20"/>
          <w:szCs w:val="20"/>
        </w:rPr>
        <w:t>;</w:t>
      </w:r>
      <w:r w:rsidR="008C282D">
        <w:rPr>
          <w:rFonts w:asciiTheme="minorHAnsi" w:hAnsiTheme="minorHAnsi" w:cs="Arial"/>
          <w:sz w:val="20"/>
          <w:szCs w:val="20"/>
        </w:rPr>
        <w:t xml:space="preserve"> </w:t>
      </w:r>
    </w:p>
    <w:p w14:paraId="1E94A326" w14:textId="43752102" w:rsidR="00036ABE" w:rsidRPr="00543CA8" w:rsidRDefault="006348C4" w:rsidP="008A42ED">
      <w:pPr>
        <w:pStyle w:val="Zkladntext"/>
        <w:numPr>
          <w:ilvl w:val="0"/>
          <w:numId w:val="2"/>
        </w:numPr>
        <w:spacing w:before="120" w:after="120"/>
        <w:ind w:left="284" w:hanging="284"/>
        <w:rPr>
          <w:rFonts w:asciiTheme="minorHAnsi" w:hAnsiTheme="minorHAnsi" w:cs="Arial"/>
          <w:sz w:val="20"/>
          <w:szCs w:val="20"/>
        </w:rPr>
      </w:pPr>
      <w:r>
        <w:rPr>
          <w:rFonts w:asciiTheme="minorHAnsi" w:hAnsiTheme="minorHAnsi" w:cs="Arial"/>
          <w:sz w:val="20"/>
          <w:szCs w:val="20"/>
        </w:rPr>
        <w:t>plochu průmyslového areálu Mošnov tvoří kromě strategické průmyslové zóny lokalita tzv. obchodně-podnikatelského areálu o rozloze 20 ha s již existujícími objekty převážně ve vlastnictví města a tzv. Malá rozvojová zóna</w:t>
      </w:r>
      <w:r w:rsidR="007F0634">
        <w:rPr>
          <w:rFonts w:asciiTheme="minorHAnsi" w:hAnsiTheme="minorHAnsi" w:cs="Arial"/>
          <w:sz w:val="20"/>
          <w:szCs w:val="20"/>
        </w:rPr>
        <w:t xml:space="preserve"> o rozloze </w:t>
      </w:r>
      <w:r w:rsidR="00F54999">
        <w:rPr>
          <w:rFonts w:asciiTheme="minorHAnsi" w:hAnsiTheme="minorHAnsi" w:cs="Arial"/>
          <w:sz w:val="20"/>
          <w:szCs w:val="20"/>
        </w:rPr>
        <w:t xml:space="preserve">cca </w:t>
      </w:r>
      <w:r w:rsidR="00F10186">
        <w:rPr>
          <w:rFonts w:asciiTheme="minorHAnsi" w:hAnsiTheme="minorHAnsi" w:cs="Arial"/>
          <w:sz w:val="20"/>
          <w:szCs w:val="20"/>
        </w:rPr>
        <w:t>38,5 ha</w:t>
      </w:r>
      <w:r>
        <w:rPr>
          <w:rFonts w:asciiTheme="minorHAnsi" w:hAnsiTheme="minorHAnsi" w:cs="Arial"/>
          <w:sz w:val="20"/>
          <w:szCs w:val="20"/>
        </w:rPr>
        <w:t xml:space="preserve">, </w:t>
      </w:r>
      <w:r w:rsidR="007F0634">
        <w:rPr>
          <w:rFonts w:asciiTheme="minorHAnsi" w:hAnsiTheme="minorHAnsi" w:cs="Arial"/>
          <w:sz w:val="20"/>
          <w:szCs w:val="20"/>
        </w:rPr>
        <w:t xml:space="preserve">na </w:t>
      </w:r>
      <w:r w:rsidR="004838C5">
        <w:rPr>
          <w:rFonts w:asciiTheme="minorHAnsi" w:hAnsiTheme="minorHAnsi" w:cs="Arial"/>
          <w:sz w:val="20"/>
          <w:szCs w:val="20"/>
        </w:rPr>
        <w:t>jejíž využití</w:t>
      </w:r>
      <w:r w:rsidR="007F0634">
        <w:rPr>
          <w:rFonts w:asciiTheme="minorHAnsi" w:hAnsiTheme="minorHAnsi" w:cs="Arial"/>
          <w:sz w:val="20"/>
          <w:szCs w:val="20"/>
        </w:rPr>
        <w:t xml:space="preserve"> byla v 05/2020 vyhlášena developerská soutěž</w:t>
      </w:r>
      <w:r w:rsidR="00C364E6">
        <w:rPr>
          <w:rFonts w:asciiTheme="minorHAnsi" w:hAnsiTheme="minorHAnsi" w:cs="Arial"/>
          <w:sz w:val="20"/>
          <w:szCs w:val="20"/>
        </w:rPr>
        <w:t xml:space="preserve">. </w:t>
      </w:r>
      <w:r w:rsidR="00543CA8">
        <w:rPr>
          <w:rFonts w:asciiTheme="minorHAnsi" w:hAnsiTheme="minorHAnsi" w:cs="Arial"/>
          <w:sz w:val="20"/>
          <w:szCs w:val="20"/>
        </w:rPr>
        <w:t>V měsíci 08/2020 došlo k posouzení a vyhodnocení nabídek a oslovení</w:t>
      </w:r>
      <w:r w:rsidR="00543CA8" w:rsidRPr="00543CA8">
        <w:rPr>
          <w:rFonts w:asciiTheme="minorHAnsi" w:hAnsiTheme="minorHAnsi" w:cs="Arial"/>
          <w:sz w:val="20"/>
          <w:szCs w:val="20"/>
        </w:rPr>
        <w:t xml:space="preserve"> uchazeče, jehož nabídka byla z hlediska posuzovaných kritérií nejvýhodnější</w:t>
      </w:r>
      <w:r w:rsidR="00543CA8">
        <w:rPr>
          <w:rFonts w:asciiTheme="minorHAnsi" w:hAnsiTheme="minorHAnsi" w:cs="Arial"/>
          <w:sz w:val="20"/>
          <w:szCs w:val="20"/>
        </w:rPr>
        <w:t xml:space="preserve">, společnosti </w:t>
      </w:r>
      <w:proofErr w:type="spellStart"/>
      <w:r w:rsidR="00543CA8">
        <w:rPr>
          <w:rFonts w:asciiTheme="minorHAnsi" w:hAnsiTheme="minorHAnsi" w:cs="Arial"/>
          <w:sz w:val="20"/>
          <w:szCs w:val="20"/>
        </w:rPr>
        <w:t>Panattoni</w:t>
      </w:r>
      <w:proofErr w:type="spellEnd"/>
      <w:r w:rsidR="00543CA8">
        <w:rPr>
          <w:rFonts w:asciiTheme="minorHAnsi" w:hAnsiTheme="minorHAnsi" w:cs="Arial"/>
          <w:sz w:val="20"/>
          <w:szCs w:val="20"/>
        </w:rPr>
        <w:t xml:space="preserve"> Czech Republic Development s. r. o. </w:t>
      </w:r>
      <w:r w:rsidR="00543CA8" w:rsidRPr="00543CA8">
        <w:rPr>
          <w:rFonts w:asciiTheme="minorHAnsi" w:hAnsiTheme="minorHAnsi" w:cs="Arial"/>
          <w:sz w:val="20"/>
          <w:szCs w:val="20"/>
        </w:rPr>
        <w:t xml:space="preserve">V průběhu II. pololetí r. 2020 probíhala s vybraným developerem jednání za účelem dohody o smluvních podmínkách nabytí pozemků Malé rozvojové zóny, která vyvrcholila v 12/2020 rozhodnutím Zastupitelstva města o prodeji a podmínkách kupní smlouvy. </w:t>
      </w:r>
      <w:r w:rsidR="00185613">
        <w:rPr>
          <w:rFonts w:asciiTheme="minorHAnsi" w:hAnsiTheme="minorHAnsi" w:cs="Arial"/>
          <w:sz w:val="20"/>
          <w:szCs w:val="20"/>
        </w:rPr>
        <w:t xml:space="preserve">Celková cena za předmět převodu činí cca 286 mil. Kč. </w:t>
      </w:r>
    </w:p>
    <w:p w14:paraId="4743AD24" w14:textId="77777777" w:rsidR="0096632A" w:rsidRPr="0075231A" w:rsidRDefault="00977476" w:rsidP="00036ABE">
      <w:pPr>
        <w:pStyle w:val="Zkladntext"/>
        <w:spacing w:before="120" w:after="120"/>
        <w:rPr>
          <w:rFonts w:asciiTheme="minorHAnsi" w:hAnsiTheme="minorHAnsi" w:cs="Arial"/>
          <w:sz w:val="20"/>
          <w:szCs w:val="20"/>
        </w:rPr>
      </w:pPr>
      <w:r>
        <w:rPr>
          <w:rFonts w:asciiTheme="minorHAnsi" w:hAnsiTheme="minorHAnsi" w:cs="Arial"/>
          <w:sz w:val="20"/>
          <w:szCs w:val="20"/>
        </w:rPr>
        <w:t xml:space="preserve"> </w:t>
      </w:r>
    </w:p>
    <w:p w14:paraId="0A560ABC" w14:textId="1DADBF6C" w:rsidR="007962A2" w:rsidRPr="007E3FCA" w:rsidRDefault="007962A2" w:rsidP="00207613">
      <w:pPr>
        <w:spacing w:after="120"/>
        <w:jc w:val="both"/>
        <w:rPr>
          <w:rFonts w:asciiTheme="minorHAnsi" w:hAnsiTheme="minorHAnsi" w:cs="Arial"/>
          <w:b/>
          <w:sz w:val="22"/>
          <w:szCs w:val="22"/>
        </w:rPr>
      </w:pPr>
      <w:r w:rsidRPr="007E3FCA">
        <w:rPr>
          <w:rFonts w:asciiTheme="minorHAnsi" w:hAnsiTheme="minorHAnsi" w:cs="Arial"/>
          <w:b/>
          <w:sz w:val="22"/>
          <w:szCs w:val="22"/>
        </w:rPr>
        <w:t>Investoři</w:t>
      </w:r>
      <w:r w:rsidR="00A34C35">
        <w:rPr>
          <w:rFonts w:asciiTheme="minorHAnsi" w:hAnsiTheme="minorHAnsi" w:cs="Arial"/>
          <w:b/>
          <w:sz w:val="22"/>
          <w:szCs w:val="22"/>
        </w:rPr>
        <w:t>, Moravskoslezský kraj</w:t>
      </w:r>
    </w:p>
    <w:p w14:paraId="21E67ACE" w14:textId="71171D74" w:rsidR="00997F53" w:rsidRDefault="003F6B6C" w:rsidP="00BF38ED">
      <w:pPr>
        <w:pStyle w:val="Odstavecseseznamem"/>
        <w:spacing w:before="120" w:after="120"/>
        <w:ind w:left="284"/>
        <w:jc w:val="both"/>
        <w:rPr>
          <w:rFonts w:asciiTheme="minorHAnsi" w:hAnsiTheme="minorHAnsi" w:cs="Arial"/>
          <w:sz w:val="20"/>
          <w:szCs w:val="20"/>
        </w:rPr>
      </w:pPr>
      <w:r w:rsidRPr="00997F53">
        <w:rPr>
          <w:rFonts w:asciiTheme="minorHAnsi" w:hAnsiTheme="minorHAnsi" w:cs="Arial"/>
          <w:b/>
          <w:sz w:val="20"/>
          <w:szCs w:val="20"/>
        </w:rPr>
        <w:t xml:space="preserve">OSTRAVA AIRPORT MULTIMODAL PARK s.r.o. </w:t>
      </w:r>
      <w:r w:rsidR="00FB7EF4">
        <w:rPr>
          <w:rFonts w:asciiTheme="minorHAnsi" w:hAnsiTheme="minorHAnsi" w:cs="Arial"/>
          <w:sz w:val="20"/>
          <w:szCs w:val="20"/>
        </w:rPr>
        <w:t>–</w:t>
      </w:r>
      <w:r w:rsidR="005549D7" w:rsidRPr="00997F53">
        <w:rPr>
          <w:rFonts w:asciiTheme="minorHAnsi" w:hAnsiTheme="minorHAnsi" w:cs="Arial"/>
          <w:sz w:val="20"/>
          <w:szCs w:val="20"/>
        </w:rPr>
        <w:t xml:space="preserve"> </w:t>
      </w:r>
      <w:r w:rsidR="003615D8">
        <w:rPr>
          <w:rFonts w:asciiTheme="minorHAnsi" w:hAnsiTheme="minorHAnsi" w:cs="Arial"/>
          <w:sz w:val="20"/>
          <w:szCs w:val="20"/>
        </w:rPr>
        <w:t>k 31. 12. 2020</w:t>
      </w:r>
      <w:r w:rsidR="00480269">
        <w:rPr>
          <w:rFonts w:asciiTheme="minorHAnsi" w:hAnsiTheme="minorHAnsi" w:cs="Arial"/>
          <w:sz w:val="20"/>
          <w:szCs w:val="20"/>
        </w:rPr>
        <w:t xml:space="preserve"> bylo investorovi prodáno</w:t>
      </w:r>
      <w:r w:rsidR="005F6656">
        <w:rPr>
          <w:rFonts w:asciiTheme="minorHAnsi" w:hAnsiTheme="minorHAnsi" w:cs="Arial"/>
          <w:sz w:val="20"/>
          <w:szCs w:val="20"/>
        </w:rPr>
        <w:t xml:space="preserve"> v rámci I. a II. etapy výstavby celkem</w:t>
      </w:r>
      <w:r w:rsidR="00480269">
        <w:rPr>
          <w:rFonts w:asciiTheme="minorHAnsi" w:hAnsiTheme="minorHAnsi" w:cs="Arial"/>
          <w:sz w:val="20"/>
          <w:szCs w:val="20"/>
        </w:rPr>
        <w:t xml:space="preserve"> 29,13 ha plochy. </w:t>
      </w:r>
    </w:p>
    <w:p w14:paraId="1ED1CEDF" w14:textId="7233ECC1" w:rsidR="00AA7F7F" w:rsidRDefault="00AA7F7F" w:rsidP="00A73E31">
      <w:pPr>
        <w:pStyle w:val="Odstavecseseznamem"/>
        <w:numPr>
          <w:ilvl w:val="0"/>
          <w:numId w:val="3"/>
        </w:numPr>
        <w:spacing w:before="120" w:after="120"/>
        <w:ind w:left="284" w:hanging="284"/>
        <w:jc w:val="both"/>
        <w:rPr>
          <w:rFonts w:asciiTheme="minorHAnsi" w:hAnsiTheme="minorHAnsi" w:cs="Arial"/>
          <w:sz w:val="20"/>
          <w:szCs w:val="20"/>
        </w:rPr>
      </w:pPr>
      <w:r w:rsidRPr="00AA7F7F">
        <w:rPr>
          <w:rFonts w:asciiTheme="minorHAnsi" w:hAnsiTheme="minorHAnsi" w:cs="Arial"/>
          <w:bCs/>
          <w:sz w:val="20"/>
          <w:szCs w:val="20"/>
        </w:rPr>
        <w:t>1</w:t>
      </w:r>
      <w:r>
        <w:rPr>
          <w:rFonts w:asciiTheme="minorHAnsi" w:hAnsiTheme="minorHAnsi" w:cs="Arial"/>
          <w:b/>
          <w:sz w:val="20"/>
          <w:szCs w:val="20"/>
        </w:rPr>
        <w:t>.</w:t>
      </w:r>
      <w:r>
        <w:rPr>
          <w:rFonts w:asciiTheme="minorHAnsi" w:hAnsiTheme="minorHAnsi" w:cs="Arial"/>
          <w:sz w:val="20"/>
          <w:szCs w:val="20"/>
        </w:rPr>
        <w:t xml:space="preserve"> 8. 2020 došlo k rozdělení společnosti OAMP odštěpením, kdy odštěpené části jmění přešly na nástupnické společnosti OAMP </w:t>
      </w:r>
      <w:proofErr w:type="spellStart"/>
      <w:r>
        <w:rPr>
          <w:rFonts w:asciiTheme="minorHAnsi" w:hAnsiTheme="minorHAnsi" w:cs="Arial"/>
          <w:sz w:val="20"/>
          <w:szCs w:val="20"/>
        </w:rPr>
        <w:t>Hall</w:t>
      </w:r>
      <w:proofErr w:type="spellEnd"/>
      <w:r>
        <w:rPr>
          <w:rFonts w:asciiTheme="minorHAnsi" w:hAnsiTheme="minorHAnsi" w:cs="Arial"/>
          <w:sz w:val="20"/>
          <w:szCs w:val="20"/>
        </w:rPr>
        <w:t xml:space="preserve"> 1 s. r. o., OAMP </w:t>
      </w:r>
      <w:proofErr w:type="spellStart"/>
      <w:r>
        <w:rPr>
          <w:rFonts w:asciiTheme="minorHAnsi" w:hAnsiTheme="minorHAnsi" w:cs="Arial"/>
          <w:sz w:val="20"/>
          <w:szCs w:val="20"/>
        </w:rPr>
        <w:t>Infrastructure</w:t>
      </w:r>
      <w:proofErr w:type="spellEnd"/>
      <w:r>
        <w:rPr>
          <w:rFonts w:asciiTheme="minorHAnsi" w:hAnsiTheme="minorHAnsi" w:cs="Arial"/>
          <w:sz w:val="20"/>
          <w:szCs w:val="20"/>
        </w:rPr>
        <w:t xml:space="preserve"> s. r. o., OAMP </w:t>
      </w:r>
      <w:proofErr w:type="spellStart"/>
      <w:r>
        <w:rPr>
          <w:rFonts w:asciiTheme="minorHAnsi" w:hAnsiTheme="minorHAnsi" w:cs="Arial"/>
          <w:sz w:val="20"/>
          <w:szCs w:val="20"/>
        </w:rPr>
        <w:t>Distribution</w:t>
      </w:r>
      <w:proofErr w:type="spellEnd"/>
      <w:r>
        <w:rPr>
          <w:rFonts w:asciiTheme="minorHAnsi" w:hAnsiTheme="minorHAnsi" w:cs="Arial"/>
          <w:sz w:val="20"/>
          <w:szCs w:val="20"/>
        </w:rPr>
        <w:t xml:space="preserve"> s. r. o. a OAMP Holding s. r. o. Důvodem rozdělení bylo přenastavení struktury firem v rámci logistického areálu. Společnosti OAMP </w:t>
      </w:r>
      <w:proofErr w:type="spellStart"/>
      <w:r>
        <w:rPr>
          <w:rFonts w:asciiTheme="minorHAnsi" w:hAnsiTheme="minorHAnsi" w:cs="Arial"/>
          <w:sz w:val="20"/>
          <w:szCs w:val="20"/>
        </w:rPr>
        <w:t>Hall</w:t>
      </w:r>
      <w:proofErr w:type="spellEnd"/>
      <w:r>
        <w:rPr>
          <w:rFonts w:asciiTheme="minorHAnsi" w:hAnsiTheme="minorHAnsi" w:cs="Arial"/>
          <w:sz w:val="20"/>
          <w:szCs w:val="20"/>
        </w:rPr>
        <w:t xml:space="preserve"> 1 až 5 vlastní pozemky pro jednotlivé logistické haly</w:t>
      </w:r>
      <w:r w:rsidR="00B33CF1">
        <w:rPr>
          <w:rFonts w:asciiTheme="minorHAnsi" w:hAnsiTheme="minorHAnsi" w:cs="Arial"/>
          <w:sz w:val="20"/>
          <w:szCs w:val="20"/>
        </w:rPr>
        <w:t xml:space="preserve"> (již vybudované nebo ve výstavbě) a společnosti OAMP </w:t>
      </w:r>
      <w:proofErr w:type="spellStart"/>
      <w:r w:rsidR="00B33CF1">
        <w:rPr>
          <w:rFonts w:asciiTheme="minorHAnsi" w:hAnsiTheme="minorHAnsi" w:cs="Arial"/>
          <w:sz w:val="20"/>
          <w:szCs w:val="20"/>
        </w:rPr>
        <w:t>Infrastructure</w:t>
      </w:r>
      <w:proofErr w:type="spellEnd"/>
      <w:r w:rsidR="00B33CF1">
        <w:rPr>
          <w:rFonts w:asciiTheme="minorHAnsi" w:hAnsiTheme="minorHAnsi" w:cs="Arial"/>
          <w:sz w:val="20"/>
          <w:szCs w:val="20"/>
        </w:rPr>
        <w:t xml:space="preserve"> a OAMP </w:t>
      </w:r>
      <w:proofErr w:type="spellStart"/>
      <w:r w:rsidR="00B33CF1">
        <w:rPr>
          <w:rFonts w:asciiTheme="minorHAnsi" w:hAnsiTheme="minorHAnsi" w:cs="Arial"/>
          <w:sz w:val="20"/>
          <w:szCs w:val="20"/>
        </w:rPr>
        <w:t>Distribution</w:t>
      </w:r>
      <w:proofErr w:type="spellEnd"/>
      <w:r w:rsidR="00B33CF1">
        <w:rPr>
          <w:rFonts w:asciiTheme="minorHAnsi" w:hAnsiTheme="minorHAnsi" w:cs="Arial"/>
          <w:sz w:val="20"/>
          <w:szCs w:val="20"/>
        </w:rPr>
        <w:t xml:space="preserve"> slouží jako servisní organizace pro logistické haly. Držitelem podílů ve společnostech OAMP </w:t>
      </w:r>
      <w:proofErr w:type="spellStart"/>
      <w:r w:rsidR="00B33CF1">
        <w:rPr>
          <w:rFonts w:asciiTheme="minorHAnsi" w:hAnsiTheme="minorHAnsi" w:cs="Arial"/>
          <w:sz w:val="20"/>
          <w:szCs w:val="20"/>
        </w:rPr>
        <w:t>Hall</w:t>
      </w:r>
      <w:proofErr w:type="spellEnd"/>
      <w:r w:rsidR="00B33CF1">
        <w:rPr>
          <w:rFonts w:asciiTheme="minorHAnsi" w:hAnsiTheme="minorHAnsi" w:cs="Arial"/>
          <w:sz w:val="20"/>
          <w:szCs w:val="20"/>
        </w:rPr>
        <w:t xml:space="preserve"> 2 až OAMP </w:t>
      </w:r>
      <w:proofErr w:type="spellStart"/>
      <w:r w:rsidR="00B33CF1">
        <w:rPr>
          <w:rFonts w:asciiTheme="minorHAnsi" w:hAnsiTheme="minorHAnsi" w:cs="Arial"/>
          <w:sz w:val="20"/>
          <w:szCs w:val="20"/>
        </w:rPr>
        <w:t>Hall</w:t>
      </w:r>
      <w:proofErr w:type="spellEnd"/>
      <w:r w:rsidR="00B33CF1">
        <w:rPr>
          <w:rFonts w:asciiTheme="minorHAnsi" w:hAnsiTheme="minorHAnsi" w:cs="Arial"/>
          <w:sz w:val="20"/>
          <w:szCs w:val="20"/>
        </w:rPr>
        <w:t xml:space="preserve"> 5 je po rozdělení společnost OAMP Holding. </w:t>
      </w:r>
    </w:p>
    <w:p w14:paraId="220206A2" w14:textId="10D342AA" w:rsidR="00723365" w:rsidRPr="00B46A19" w:rsidRDefault="00C8496E" w:rsidP="00C8496E">
      <w:pPr>
        <w:pStyle w:val="Odstavecseseznamem"/>
        <w:numPr>
          <w:ilvl w:val="0"/>
          <w:numId w:val="3"/>
        </w:numPr>
        <w:spacing w:before="120" w:after="120"/>
        <w:ind w:left="284" w:hanging="284"/>
        <w:rPr>
          <w:rFonts w:asciiTheme="minorHAnsi" w:hAnsiTheme="minorHAnsi" w:cs="Arial"/>
          <w:sz w:val="20"/>
          <w:szCs w:val="20"/>
        </w:rPr>
      </w:pPr>
      <w:r>
        <w:rPr>
          <w:rFonts w:asciiTheme="minorHAnsi" w:hAnsiTheme="minorHAnsi" w:cs="Arial"/>
          <w:sz w:val="20"/>
          <w:szCs w:val="20"/>
        </w:rPr>
        <w:t xml:space="preserve">aktuálně jsou </w:t>
      </w:r>
      <w:r w:rsidR="005F6656">
        <w:rPr>
          <w:rFonts w:asciiTheme="minorHAnsi" w:hAnsiTheme="minorHAnsi" w:cs="Arial"/>
          <w:sz w:val="20"/>
          <w:szCs w:val="20"/>
        </w:rPr>
        <w:t>dokončen</w:t>
      </w:r>
      <w:r>
        <w:rPr>
          <w:rFonts w:asciiTheme="minorHAnsi" w:hAnsiTheme="minorHAnsi" w:cs="Arial"/>
          <w:sz w:val="20"/>
          <w:szCs w:val="20"/>
        </w:rPr>
        <w:t>y</w:t>
      </w:r>
      <w:r w:rsidR="005F6656">
        <w:rPr>
          <w:rFonts w:asciiTheme="minorHAnsi" w:hAnsiTheme="minorHAnsi" w:cs="Arial"/>
          <w:sz w:val="20"/>
          <w:szCs w:val="20"/>
        </w:rPr>
        <w:t xml:space="preserve"> </w:t>
      </w:r>
      <w:r>
        <w:rPr>
          <w:rFonts w:asciiTheme="minorHAnsi" w:hAnsiTheme="minorHAnsi" w:cs="Arial"/>
          <w:sz w:val="20"/>
          <w:szCs w:val="20"/>
        </w:rPr>
        <w:t xml:space="preserve">Hala 1 (SO 02 a SO 06) </w:t>
      </w:r>
      <w:r w:rsidRPr="005A10A4">
        <w:rPr>
          <w:rFonts w:asciiTheme="minorHAnsi" w:hAnsiTheme="minorHAnsi" w:cs="Arial"/>
          <w:sz w:val="20"/>
          <w:szCs w:val="20"/>
        </w:rPr>
        <w:t xml:space="preserve">o rozloze </w:t>
      </w:r>
      <w:r>
        <w:rPr>
          <w:rFonts w:asciiTheme="minorHAnsi" w:hAnsiTheme="minorHAnsi" w:cs="Arial"/>
          <w:sz w:val="20"/>
          <w:szCs w:val="20"/>
        </w:rPr>
        <w:t>57 133</w:t>
      </w:r>
      <w:r w:rsidRPr="005A10A4">
        <w:rPr>
          <w:rFonts w:asciiTheme="minorHAnsi" w:hAnsiTheme="minorHAnsi" w:cs="Arial"/>
          <w:sz w:val="20"/>
          <w:szCs w:val="20"/>
        </w:rPr>
        <w:t xml:space="preserve"> m</w:t>
      </w:r>
      <w:r w:rsidRPr="005A10A4">
        <w:rPr>
          <w:rFonts w:asciiTheme="minorHAnsi" w:hAnsiTheme="minorHAnsi" w:cs="Arial"/>
          <w:sz w:val="20"/>
          <w:szCs w:val="20"/>
          <w:vertAlign w:val="superscript"/>
        </w:rPr>
        <w:t>2</w:t>
      </w:r>
      <w:r>
        <w:rPr>
          <w:rFonts w:asciiTheme="minorHAnsi" w:hAnsiTheme="minorHAnsi" w:cs="Arial"/>
          <w:sz w:val="20"/>
          <w:szCs w:val="20"/>
        </w:rPr>
        <w:t xml:space="preserve">, </w:t>
      </w:r>
      <w:r w:rsidR="005F6656">
        <w:rPr>
          <w:rFonts w:asciiTheme="minorHAnsi" w:hAnsiTheme="minorHAnsi" w:cs="Arial"/>
          <w:sz w:val="20"/>
          <w:szCs w:val="20"/>
        </w:rPr>
        <w:t>Hala 2</w:t>
      </w:r>
      <w:r w:rsidR="00723365" w:rsidRPr="005A10A4">
        <w:rPr>
          <w:rFonts w:asciiTheme="minorHAnsi" w:hAnsiTheme="minorHAnsi" w:cs="Arial"/>
          <w:sz w:val="20"/>
          <w:szCs w:val="20"/>
        </w:rPr>
        <w:t xml:space="preserve"> (SO 01) o rozloze 48 864 m</w:t>
      </w:r>
      <w:r w:rsidR="00723365" w:rsidRPr="005A10A4">
        <w:rPr>
          <w:rFonts w:asciiTheme="minorHAnsi" w:hAnsiTheme="minorHAnsi" w:cs="Arial"/>
          <w:sz w:val="20"/>
          <w:szCs w:val="20"/>
          <w:vertAlign w:val="superscript"/>
        </w:rPr>
        <w:t>2</w:t>
      </w:r>
      <w:r w:rsidR="00723365" w:rsidRPr="005A10A4">
        <w:rPr>
          <w:rFonts w:asciiTheme="minorHAnsi" w:hAnsiTheme="minorHAnsi" w:cs="Arial"/>
          <w:sz w:val="20"/>
          <w:szCs w:val="20"/>
        </w:rPr>
        <w:t xml:space="preserve"> </w:t>
      </w:r>
      <w:r w:rsidR="005F6656">
        <w:rPr>
          <w:rFonts w:asciiTheme="minorHAnsi" w:hAnsiTheme="minorHAnsi" w:cs="Arial"/>
          <w:sz w:val="20"/>
          <w:szCs w:val="20"/>
        </w:rPr>
        <w:t xml:space="preserve">a </w:t>
      </w:r>
      <w:r>
        <w:rPr>
          <w:rFonts w:asciiTheme="minorHAnsi" w:hAnsiTheme="minorHAnsi" w:cs="Arial"/>
          <w:sz w:val="20"/>
          <w:szCs w:val="20"/>
        </w:rPr>
        <w:t>k tomu náležících 73 098</w:t>
      </w:r>
      <w:r w:rsidRPr="005A10A4">
        <w:rPr>
          <w:rFonts w:asciiTheme="minorHAnsi" w:hAnsiTheme="minorHAnsi" w:cs="Arial"/>
          <w:sz w:val="20"/>
          <w:szCs w:val="20"/>
        </w:rPr>
        <w:t xml:space="preserve"> m</w:t>
      </w:r>
      <w:r w:rsidRPr="005A10A4">
        <w:rPr>
          <w:rFonts w:asciiTheme="minorHAnsi" w:hAnsiTheme="minorHAnsi" w:cs="Arial"/>
          <w:sz w:val="20"/>
          <w:szCs w:val="20"/>
          <w:vertAlign w:val="superscript"/>
        </w:rPr>
        <w:t>2</w:t>
      </w:r>
      <w:r w:rsidRPr="005A10A4">
        <w:rPr>
          <w:rFonts w:asciiTheme="minorHAnsi" w:hAnsiTheme="minorHAnsi" w:cs="Arial"/>
          <w:sz w:val="20"/>
          <w:szCs w:val="20"/>
        </w:rPr>
        <w:t xml:space="preserve"> </w:t>
      </w:r>
      <w:r>
        <w:rPr>
          <w:rFonts w:asciiTheme="minorHAnsi" w:hAnsiTheme="minorHAnsi" w:cs="Arial"/>
          <w:sz w:val="20"/>
          <w:szCs w:val="20"/>
        </w:rPr>
        <w:t xml:space="preserve">zpevněných ploch. V průběhu II. pol. r. 2020 dále </w:t>
      </w:r>
      <w:r w:rsidR="005F6656">
        <w:rPr>
          <w:rFonts w:asciiTheme="minorHAnsi" w:hAnsiTheme="minorHAnsi" w:cs="Arial"/>
          <w:sz w:val="20"/>
          <w:szCs w:val="20"/>
        </w:rPr>
        <w:t xml:space="preserve">probíhala výstavba </w:t>
      </w:r>
      <w:r w:rsidR="00723365" w:rsidRPr="00723365">
        <w:rPr>
          <w:rFonts w:asciiTheme="minorHAnsi" w:hAnsiTheme="minorHAnsi" w:cs="Arial"/>
          <w:sz w:val="20"/>
          <w:szCs w:val="20"/>
        </w:rPr>
        <w:t>Hal</w:t>
      </w:r>
      <w:r w:rsidR="005F6656">
        <w:rPr>
          <w:rFonts w:asciiTheme="minorHAnsi" w:hAnsiTheme="minorHAnsi" w:cs="Arial"/>
          <w:sz w:val="20"/>
          <w:szCs w:val="20"/>
        </w:rPr>
        <w:t>y</w:t>
      </w:r>
      <w:r w:rsidR="00723365" w:rsidRPr="00723365">
        <w:rPr>
          <w:rFonts w:asciiTheme="minorHAnsi" w:hAnsiTheme="minorHAnsi" w:cs="Arial"/>
          <w:sz w:val="20"/>
          <w:szCs w:val="20"/>
        </w:rPr>
        <w:t xml:space="preserve"> 3 (SO 05) o rozloze 18 969 m</w:t>
      </w:r>
      <w:r w:rsidR="00723365" w:rsidRPr="00723365">
        <w:rPr>
          <w:rFonts w:asciiTheme="minorHAnsi" w:hAnsiTheme="minorHAnsi" w:cs="Arial"/>
          <w:sz w:val="20"/>
          <w:szCs w:val="20"/>
          <w:vertAlign w:val="superscript"/>
        </w:rPr>
        <w:t>2</w:t>
      </w:r>
      <w:r w:rsidR="002C7126">
        <w:rPr>
          <w:rFonts w:asciiTheme="minorHAnsi" w:hAnsiTheme="minorHAnsi" w:cs="Arial"/>
          <w:sz w:val="20"/>
          <w:szCs w:val="20"/>
        </w:rPr>
        <w:t xml:space="preserve">. </w:t>
      </w:r>
      <w:r w:rsidR="00723365" w:rsidRPr="00723365">
        <w:rPr>
          <w:rFonts w:asciiTheme="minorHAnsi" w:hAnsiTheme="minorHAnsi" w:cs="Arial"/>
          <w:sz w:val="20"/>
          <w:szCs w:val="20"/>
          <w:vertAlign w:val="superscript"/>
        </w:rPr>
        <w:t xml:space="preserve"> </w:t>
      </w:r>
      <w:r w:rsidR="009C4AA9">
        <w:rPr>
          <w:rFonts w:asciiTheme="minorHAnsi" w:hAnsiTheme="minorHAnsi" w:cs="Arial"/>
          <w:sz w:val="20"/>
          <w:szCs w:val="20"/>
        </w:rPr>
        <w:t>U posledního</w:t>
      </w:r>
      <w:r w:rsidR="002C7126">
        <w:rPr>
          <w:rFonts w:asciiTheme="minorHAnsi" w:hAnsiTheme="minorHAnsi" w:cs="Arial"/>
          <w:sz w:val="20"/>
          <w:szCs w:val="20"/>
        </w:rPr>
        <w:t xml:space="preserve"> z objektů II. etapy výstavby, Hal</w:t>
      </w:r>
      <w:r w:rsidR="009C4AA9">
        <w:rPr>
          <w:rFonts w:asciiTheme="minorHAnsi" w:hAnsiTheme="minorHAnsi" w:cs="Arial"/>
          <w:sz w:val="20"/>
          <w:szCs w:val="20"/>
        </w:rPr>
        <w:t>y</w:t>
      </w:r>
      <w:r w:rsidR="00723365" w:rsidRPr="00723365">
        <w:rPr>
          <w:rFonts w:asciiTheme="minorHAnsi" w:hAnsiTheme="minorHAnsi" w:cs="Arial"/>
          <w:sz w:val="20"/>
          <w:szCs w:val="20"/>
        </w:rPr>
        <w:t xml:space="preserve"> 4 (SO 08) </w:t>
      </w:r>
      <w:r w:rsidR="00723365">
        <w:rPr>
          <w:rFonts w:asciiTheme="minorHAnsi" w:hAnsiTheme="minorHAnsi" w:cs="Arial"/>
          <w:sz w:val="20"/>
          <w:szCs w:val="20"/>
        </w:rPr>
        <w:t>o rozloze 12 288 m</w:t>
      </w:r>
      <w:r w:rsidR="00723365">
        <w:rPr>
          <w:rFonts w:asciiTheme="minorHAnsi" w:hAnsiTheme="minorHAnsi" w:cs="Arial"/>
          <w:sz w:val="20"/>
          <w:szCs w:val="20"/>
          <w:vertAlign w:val="superscript"/>
        </w:rPr>
        <w:t>2</w:t>
      </w:r>
      <w:r w:rsidR="009C4AA9">
        <w:rPr>
          <w:rFonts w:asciiTheme="minorHAnsi" w:hAnsiTheme="minorHAnsi" w:cs="Arial"/>
          <w:sz w:val="20"/>
          <w:szCs w:val="20"/>
        </w:rPr>
        <w:t>, se předpokládá realizace v blízké době, dosud se jednalo o úpravách ze strany klienta.</w:t>
      </w:r>
    </w:p>
    <w:p w14:paraId="42C52781" w14:textId="6F23F776" w:rsidR="00723365" w:rsidRDefault="00723365" w:rsidP="00D90A9D">
      <w:pPr>
        <w:pStyle w:val="Odstavecseseznamem"/>
        <w:numPr>
          <w:ilvl w:val="0"/>
          <w:numId w:val="3"/>
        </w:numPr>
        <w:spacing w:before="120" w:after="120"/>
        <w:ind w:left="284" w:hanging="284"/>
        <w:jc w:val="both"/>
        <w:rPr>
          <w:rFonts w:asciiTheme="minorHAnsi" w:hAnsiTheme="minorHAnsi" w:cs="Arial"/>
          <w:sz w:val="20"/>
          <w:szCs w:val="20"/>
        </w:rPr>
      </w:pPr>
      <w:r>
        <w:rPr>
          <w:rFonts w:asciiTheme="minorHAnsi" w:hAnsiTheme="minorHAnsi" w:cs="Arial"/>
          <w:sz w:val="20"/>
          <w:szCs w:val="20"/>
        </w:rPr>
        <w:lastRenderedPageBreak/>
        <w:t xml:space="preserve">III. etapa výstavby zahrnuje stavbu železničního kontejnerového terminálu, na který investor získal dotaci z Operačního programu Doprava 2014-2020. </w:t>
      </w:r>
      <w:r w:rsidR="002E4FBD">
        <w:rPr>
          <w:rFonts w:asciiTheme="minorHAnsi" w:hAnsiTheme="minorHAnsi" w:cs="Arial"/>
          <w:sz w:val="20"/>
          <w:szCs w:val="20"/>
        </w:rPr>
        <w:t xml:space="preserve">V 09/2020 schválila Meziresortní hodnotitelská komise při MPO (lokalita SPZ je v udržitelnosti, převody pozemků je nutné schválit poskytovatelem dotace) smluvní dokumenty, </w:t>
      </w:r>
      <w:r w:rsidR="009F575E">
        <w:rPr>
          <w:rFonts w:asciiTheme="minorHAnsi" w:hAnsiTheme="minorHAnsi" w:cs="Arial"/>
          <w:sz w:val="20"/>
          <w:szCs w:val="20"/>
        </w:rPr>
        <w:br/>
      </w:r>
      <w:r w:rsidR="002E4FBD">
        <w:rPr>
          <w:rFonts w:asciiTheme="minorHAnsi" w:hAnsiTheme="minorHAnsi" w:cs="Arial"/>
          <w:sz w:val="20"/>
          <w:szCs w:val="20"/>
        </w:rPr>
        <w:t xml:space="preserve">na základě kterých společnost OAMP získá pozemky vlastněné společností ENES </w:t>
      </w:r>
      <w:proofErr w:type="spellStart"/>
      <w:r w:rsidR="002E4FBD">
        <w:rPr>
          <w:rFonts w:asciiTheme="minorHAnsi" w:hAnsiTheme="minorHAnsi" w:cs="Arial"/>
          <w:sz w:val="20"/>
          <w:szCs w:val="20"/>
        </w:rPr>
        <w:t>Cargo</w:t>
      </w:r>
      <w:proofErr w:type="spellEnd"/>
      <w:r w:rsidR="002E4FBD">
        <w:rPr>
          <w:rFonts w:asciiTheme="minorHAnsi" w:hAnsiTheme="minorHAnsi" w:cs="Arial"/>
          <w:sz w:val="20"/>
          <w:szCs w:val="20"/>
        </w:rPr>
        <w:t xml:space="preserve"> a. s. za účelem jejich využití </w:t>
      </w:r>
      <w:r w:rsidR="002D6820">
        <w:rPr>
          <w:rFonts w:asciiTheme="minorHAnsi" w:hAnsiTheme="minorHAnsi" w:cs="Arial"/>
          <w:sz w:val="20"/>
          <w:szCs w:val="20"/>
        </w:rPr>
        <w:br/>
      </w:r>
      <w:r w:rsidR="002E4FBD">
        <w:rPr>
          <w:rFonts w:asciiTheme="minorHAnsi" w:hAnsiTheme="minorHAnsi" w:cs="Arial"/>
          <w:sz w:val="20"/>
          <w:szCs w:val="20"/>
        </w:rPr>
        <w:t xml:space="preserve">pro plnohodnotné fungování terminálu kontejnerové dopravy. Pro efektivní využití lokality nabude společnost OAMP rovněž pozemky města </w:t>
      </w:r>
      <w:r w:rsidR="002D6820">
        <w:rPr>
          <w:rFonts w:asciiTheme="minorHAnsi" w:hAnsiTheme="minorHAnsi" w:cs="Arial"/>
          <w:sz w:val="20"/>
          <w:szCs w:val="20"/>
        </w:rPr>
        <w:t xml:space="preserve">o výměře cca 0,83 ha </w:t>
      </w:r>
      <w:r w:rsidR="002E4FBD">
        <w:rPr>
          <w:rFonts w:asciiTheme="minorHAnsi" w:hAnsiTheme="minorHAnsi" w:cs="Arial"/>
          <w:sz w:val="20"/>
          <w:szCs w:val="20"/>
        </w:rPr>
        <w:t xml:space="preserve">mezi stávající plochou multimodálního parku a nově nabývanými pozemky společnosti ENES </w:t>
      </w:r>
      <w:proofErr w:type="spellStart"/>
      <w:r w:rsidR="002E4FBD">
        <w:rPr>
          <w:rFonts w:asciiTheme="minorHAnsi" w:hAnsiTheme="minorHAnsi" w:cs="Arial"/>
          <w:sz w:val="20"/>
          <w:szCs w:val="20"/>
        </w:rPr>
        <w:t>Cargo</w:t>
      </w:r>
      <w:proofErr w:type="spellEnd"/>
      <w:r w:rsidR="002E4FBD">
        <w:rPr>
          <w:rFonts w:asciiTheme="minorHAnsi" w:hAnsiTheme="minorHAnsi" w:cs="Arial"/>
          <w:sz w:val="20"/>
          <w:szCs w:val="20"/>
        </w:rPr>
        <w:t xml:space="preserve">, která se přesouvá na pozemky Moravskoslezského kraje. </w:t>
      </w:r>
      <w:r w:rsidR="00690899">
        <w:rPr>
          <w:rFonts w:asciiTheme="minorHAnsi" w:hAnsiTheme="minorHAnsi" w:cs="Arial"/>
          <w:sz w:val="20"/>
          <w:szCs w:val="20"/>
        </w:rPr>
        <w:t xml:space="preserve">V závěru roku 2020 došlo k podpisu kupních smluv mezi stranami OAMP, ENES </w:t>
      </w:r>
      <w:proofErr w:type="spellStart"/>
      <w:r w:rsidR="00690899">
        <w:rPr>
          <w:rFonts w:asciiTheme="minorHAnsi" w:hAnsiTheme="minorHAnsi" w:cs="Arial"/>
          <w:sz w:val="20"/>
          <w:szCs w:val="20"/>
        </w:rPr>
        <w:t>Cargo</w:t>
      </w:r>
      <w:proofErr w:type="spellEnd"/>
      <w:r w:rsidR="00690899">
        <w:rPr>
          <w:rFonts w:asciiTheme="minorHAnsi" w:hAnsiTheme="minorHAnsi" w:cs="Arial"/>
          <w:sz w:val="20"/>
          <w:szCs w:val="20"/>
        </w:rPr>
        <w:t xml:space="preserve"> a SMO. </w:t>
      </w:r>
    </w:p>
    <w:p w14:paraId="2089519D" w14:textId="11801F9C" w:rsidR="00E67FD3" w:rsidRPr="00723365" w:rsidRDefault="002946A6" w:rsidP="00D90A9D">
      <w:pPr>
        <w:pStyle w:val="Odstavecseseznamem"/>
        <w:numPr>
          <w:ilvl w:val="0"/>
          <w:numId w:val="3"/>
        </w:numPr>
        <w:spacing w:before="120" w:after="120"/>
        <w:ind w:left="284" w:hanging="284"/>
        <w:jc w:val="both"/>
        <w:rPr>
          <w:rFonts w:asciiTheme="minorHAnsi" w:hAnsiTheme="minorHAnsi" w:cs="Arial"/>
          <w:sz w:val="20"/>
          <w:szCs w:val="20"/>
        </w:rPr>
      </w:pPr>
      <w:r>
        <w:rPr>
          <w:rFonts w:asciiTheme="minorHAnsi" w:hAnsiTheme="minorHAnsi" w:cs="Arial"/>
          <w:sz w:val="20"/>
          <w:szCs w:val="20"/>
        </w:rPr>
        <w:t xml:space="preserve">v 07/2020 vydalo statutární město Ostrava na žádost OAMP, resp. OAMP </w:t>
      </w:r>
      <w:proofErr w:type="spellStart"/>
      <w:r>
        <w:rPr>
          <w:rFonts w:asciiTheme="minorHAnsi" w:hAnsiTheme="minorHAnsi" w:cs="Arial"/>
          <w:sz w:val="20"/>
          <w:szCs w:val="20"/>
        </w:rPr>
        <w:t>Hall</w:t>
      </w:r>
      <w:proofErr w:type="spellEnd"/>
      <w:r>
        <w:rPr>
          <w:rFonts w:asciiTheme="minorHAnsi" w:hAnsiTheme="minorHAnsi" w:cs="Arial"/>
          <w:sz w:val="20"/>
          <w:szCs w:val="20"/>
        </w:rPr>
        <w:t xml:space="preserve"> 5, souhlasné prohlášení k podání nové žádosti k posouzení vlivu na životní prostředí (EIA) z důvodu úpravy Haly SO 03 v souvislosti s jednáními o možném příchodu nového významného investora; požadovaná dispozice haly by přesáhla stanovenou hranici pozemků </w:t>
      </w:r>
      <w:r w:rsidR="00135351">
        <w:rPr>
          <w:rFonts w:asciiTheme="minorHAnsi" w:hAnsiTheme="minorHAnsi" w:cs="Arial"/>
          <w:sz w:val="20"/>
          <w:szCs w:val="20"/>
        </w:rPr>
        <w:br/>
      </w:r>
      <w:r>
        <w:rPr>
          <w:rFonts w:asciiTheme="minorHAnsi" w:hAnsiTheme="minorHAnsi" w:cs="Arial"/>
          <w:sz w:val="20"/>
          <w:szCs w:val="20"/>
        </w:rPr>
        <w:t>dle budoucí kupní smlouvy o cca 9,5 ha (ze stávající plochy „K“).</w:t>
      </w:r>
      <w:r w:rsidR="00907A07">
        <w:rPr>
          <w:rFonts w:asciiTheme="minorHAnsi" w:hAnsiTheme="minorHAnsi" w:cs="Arial"/>
          <w:sz w:val="20"/>
          <w:szCs w:val="20"/>
        </w:rPr>
        <w:t xml:space="preserve"> </w:t>
      </w:r>
    </w:p>
    <w:p w14:paraId="4F0CAE07" w14:textId="77777777" w:rsidR="007165F4" w:rsidRPr="007165F4" w:rsidRDefault="0020211C" w:rsidP="00D90A9D">
      <w:pPr>
        <w:pStyle w:val="Odstavecseseznamem"/>
        <w:numPr>
          <w:ilvl w:val="0"/>
          <w:numId w:val="3"/>
        </w:numPr>
        <w:spacing w:before="120" w:after="120"/>
        <w:ind w:left="284" w:hanging="284"/>
        <w:jc w:val="both"/>
        <w:rPr>
          <w:rFonts w:asciiTheme="minorHAnsi" w:hAnsiTheme="minorHAnsi" w:cs="Arial"/>
          <w:sz w:val="20"/>
          <w:szCs w:val="20"/>
        </w:rPr>
      </w:pPr>
      <w:r>
        <w:rPr>
          <w:rFonts w:asciiTheme="minorHAnsi" w:hAnsiTheme="minorHAnsi" w:cs="Arial"/>
          <w:sz w:val="20"/>
          <w:szCs w:val="20"/>
        </w:rPr>
        <w:t>v</w:t>
      </w:r>
      <w:r w:rsidR="00F1085E" w:rsidRPr="007165F4">
        <w:rPr>
          <w:rFonts w:asciiTheme="minorHAnsi" w:hAnsiTheme="minorHAnsi" w:cs="Arial"/>
          <w:sz w:val="20"/>
          <w:szCs w:val="20"/>
        </w:rPr>
        <w:t>ýstavba</w:t>
      </w:r>
      <w:r w:rsidR="00C1208F" w:rsidRPr="007165F4">
        <w:rPr>
          <w:rFonts w:asciiTheme="minorHAnsi" w:hAnsiTheme="minorHAnsi" w:cs="Arial"/>
          <w:sz w:val="20"/>
          <w:szCs w:val="20"/>
        </w:rPr>
        <w:t xml:space="preserve"> </w:t>
      </w:r>
      <w:r w:rsidR="007E5FA4" w:rsidRPr="007165F4">
        <w:rPr>
          <w:rFonts w:asciiTheme="minorHAnsi" w:hAnsiTheme="minorHAnsi" w:cs="Arial"/>
          <w:sz w:val="20"/>
          <w:szCs w:val="20"/>
        </w:rPr>
        <w:t>logistického parku</w:t>
      </w:r>
      <w:r w:rsidR="00C1208F" w:rsidRPr="007165F4">
        <w:rPr>
          <w:rFonts w:asciiTheme="minorHAnsi" w:hAnsiTheme="minorHAnsi" w:cs="Arial"/>
          <w:sz w:val="20"/>
          <w:szCs w:val="20"/>
        </w:rPr>
        <w:t xml:space="preserve"> </w:t>
      </w:r>
      <w:r w:rsidR="002F4892" w:rsidRPr="007165F4">
        <w:rPr>
          <w:rFonts w:asciiTheme="minorHAnsi" w:hAnsiTheme="minorHAnsi" w:cs="Arial"/>
          <w:sz w:val="20"/>
          <w:szCs w:val="20"/>
        </w:rPr>
        <w:t>má být dle smlouvy realizována ve čtyřech etapách</w:t>
      </w:r>
      <w:r w:rsidR="000F1D4A" w:rsidRPr="007165F4">
        <w:rPr>
          <w:rFonts w:asciiTheme="minorHAnsi" w:hAnsiTheme="minorHAnsi" w:cs="Arial"/>
          <w:sz w:val="20"/>
          <w:szCs w:val="20"/>
        </w:rPr>
        <w:t>, kompletně má být areál dokončen do 12/2023 s min. objemem 155 000 m</w:t>
      </w:r>
      <w:r w:rsidR="000F1D4A" w:rsidRPr="007165F4">
        <w:rPr>
          <w:rFonts w:asciiTheme="minorHAnsi" w:hAnsiTheme="minorHAnsi" w:cs="Arial"/>
          <w:sz w:val="20"/>
          <w:szCs w:val="20"/>
          <w:vertAlign w:val="superscript"/>
        </w:rPr>
        <w:t>2</w:t>
      </w:r>
      <w:r w:rsidR="000F1D4A" w:rsidRPr="007165F4">
        <w:rPr>
          <w:rFonts w:asciiTheme="minorHAnsi" w:hAnsiTheme="minorHAnsi" w:cs="Arial"/>
          <w:sz w:val="20"/>
          <w:szCs w:val="20"/>
        </w:rPr>
        <w:t xml:space="preserve"> skladových ploch</w:t>
      </w:r>
      <w:r w:rsidR="006620EA" w:rsidRPr="007165F4">
        <w:rPr>
          <w:rFonts w:asciiTheme="minorHAnsi" w:hAnsiTheme="minorHAnsi" w:cs="Arial"/>
          <w:sz w:val="20"/>
          <w:szCs w:val="20"/>
        </w:rPr>
        <w:t xml:space="preserve"> (předpoklad </w:t>
      </w:r>
      <w:r w:rsidR="004B700F" w:rsidRPr="007165F4">
        <w:rPr>
          <w:rFonts w:asciiTheme="minorHAnsi" w:hAnsiTheme="minorHAnsi" w:cs="Arial"/>
          <w:sz w:val="20"/>
          <w:szCs w:val="20"/>
        </w:rPr>
        <w:t xml:space="preserve">však </w:t>
      </w:r>
      <w:r w:rsidR="006620EA" w:rsidRPr="007165F4">
        <w:rPr>
          <w:rFonts w:asciiTheme="minorHAnsi" w:hAnsiTheme="minorHAnsi" w:cs="Arial"/>
          <w:sz w:val="20"/>
          <w:szCs w:val="20"/>
        </w:rPr>
        <w:t>činí 234 000 m</w:t>
      </w:r>
      <w:r w:rsidR="006620EA" w:rsidRPr="007165F4">
        <w:rPr>
          <w:rFonts w:asciiTheme="minorHAnsi" w:hAnsiTheme="minorHAnsi" w:cs="Arial"/>
          <w:sz w:val="20"/>
          <w:szCs w:val="20"/>
          <w:vertAlign w:val="superscript"/>
        </w:rPr>
        <w:t>2</w:t>
      </w:r>
      <w:r w:rsidR="006620EA" w:rsidRPr="007165F4">
        <w:rPr>
          <w:rFonts w:asciiTheme="minorHAnsi" w:hAnsiTheme="minorHAnsi" w:cs="Arial"/>
          <w:sz w:val="20"/>
          <w:szCs w:val="20"/>
        </w:rPr>
        <w:t xml:space="preserve"> skladových, výrobních a kancelářských ploch)</w:t>
      </w:r>
      <w:r w:rsidR="000F1D4A" w:rsidRPr="007165F4">
        <w:rPr>
          <w:rFonts w:asciiTheme="minorHAnsi" w:hAnsiTheme="minorHAnsi" w:cs="Arial"/>
          <w:sz w:val="20"/>
          <w:szCs w:val="20"/>
        </w:rPr>
        <w:t>.</w:t>
      </w:r>
      <w:r w:rsidR="00EC5036" w:rsidRPr="007165F4">
        <w:rPr>
          <w:rFonts w:asciiTheme="minorHAnsi" w:hAnsiTheme="minorHAnsi" w:cs="Arial"/>
          <w:sz w:val="20"/>
          <w:szCs w:val="20"/>
        </w:rPr>
        <w:t xml:space="preserve"> </w:t>
      </w:r>
    </w:p>
    <w:p w14:paraId="5E7C58F3" w14:textId="77777777" w:rsidR="00A637E9" w:rsidRDefault="00114351" w:rsidP="00A637E9">
      <w:pPr>
        <w:ind w:left="284"/>
        <w:jc w:val="both"/>
        <w:rPr>
          <w:rFonts w:asciiTheme="minorHAnsi" w:hAnsiTheme="minorHAnsi" w:cs="Arial"/>
          <w:sz w:val="20"/>
          <w:szCs w:val="20"/>
        </w:rPr>
      </w:pPr>
      <w:r w:rsidRPr="00114351">
        <w:rPr>
          <w:rFonts w:asciiTheme="minorHAnsi" w:hAnsiTheme="minorHAnsi" w:cs="Arial"/>
          <w:b/>
          <w:sz w:val="20"/>
          <w:szCs w:val="20"/>
        </w:rPr>
        <w:t>XZB (</w:t>
      </w:r>
      <w:proofErr w:type="spellStart"/>
      <w:r w:rsidRPr="00114351">
        <w:rPr>
          <w:rFonts w:asciiTheme="minorHAnsi" w:hAnsiTheme="minorHAnsi" w:cs="Arial"/>
          <w:b/>
          <w:sz w:val="20"/>
          <w:szCs w:val="20"/>
        </w:rPr>
        <w:t>Europe</w:t>
      </w:r>
      <w:proofErr w:type="spellEnd"/>
      <w:r w:rsidRPr="00114351">
        <w:rPr>
          <w:rFonts w:asciiTheme="minorHAnsi" w:hAnsiTheme="minorHAnsi" w:cs="Arial"/>
          <w:b/>
          <w:sz w:val="20"/>
          <w:szCs w:val="20"/>
        </w:rPr>
        <w:t>) s. r. o.</w:t>
      </w:r>
      <w:r>
        <w:rPr>
          <w:rFonts w:asciiTheme="minorHAnsi" w:hAnsiTheme="minorHAnsi" w:cs="Arial"/>
          <w:sz w:val="20"/>
          <w:szCs w:val="20"/>
        </w:rPr>
        <w:t xml:space="preserve"> </w:t>
      </w:r>
      <w:r w:rsidR="005D073C">
        <w:rPr>
          <w:rFonts w:asciiTheme="minorHAnsi" w:hAnsiTheme="minorHAnsi" w:cs="Arial"/>
          <w:sz w:val="20"/>
          <w:szCs w:val="20"/>
        </w:rPr>
        <w:t>–</w:t>
      </w:r>
      <w:r>
        <w:rPr>
          <w:rFonts w:asciiTheme="minorHAnsi" w:hAnsiTheme="minorHAnsi" w:cs="Arial"/>
          <w:sz w:val="20"/>
          <w:szCs w:val="20"/>
        </w:rPr>
        <w:t xml:space="preserve"> </w:t>
      </w:r>
      <w:r w:rsidR="00C5499B">
        <w:rPr>
          <w:rFonts w:asciiTheme="minorHAnsi" w:hAnsiTheme="minorHAnsi" w:cs="Arial"/>
          <w:sz w:val="20"/>
          <w:szCs w:val="20"/>
        </w:rPr>
        <w:t>společnost</w:t>
      </w:r>
      <w:r w:rsidR="005D073C">
        <w:rPr>
          <w:rFonts w:asciiTheme="minorHAnsi" w:hAnsiTheme="minorHAnsi" w:cs="Arial"/>
          <w:sz w:val="20"/>
          <w:szCs w:val="20"/>
        </w:rPr>
        <w:t xml:space="preserve"> </w:t>
      </w:r>
      <w:r w:rsidR="00BA1884">
        <w:rPr>
          <w:rFonts w:asciiTheme="minorHAnsi" w:hAnsiTheme="minorHAnsi" w:cs="Arial"/>
          <w:sz w:val="20"/>
          <w:szCs w:val="20"/>
        </w:rPr>
        <w:t>je nyní zasídlena</w:t>
      </w:r>
      <w:r w:rsidR="00C5499B">
        <w:rPr>
          <w:rFonts w:asciiTheme="minorHAnsi" w:hAnsiTheme="minorHAnsi" w:cs="Arial"/>
          <w:sz w:val="20"/>
          <w:szCs w:val="20"/>
        </w:rPr>
        <w:t xml:space="preserve"> v pronajatých prostorách v logistickém areálu ve vlastnictví MSK </w:t>
      </w:r>
      <w:r w:rsidR="00440435">
        <w:rPr>
          <w:rFonts w:asciiTheme="minorHAnsi" w:hAnsiTheme="minorHAnsi" w:cs="Arial"/>
          <w:sz w:val="20"/>
          <w:szCs w:val="20"/>
        </w:rPr>
        <w:br/>
      </w:r>
      <w:r w:rsidR="00C5499B">
        <w:rPr>
          <w:rFonts w:asciiTheme="minorHAnsi" w:hAnsiTheme="minorHAnsi" w:cs="Arial"/>
          <w:sz w:val="20"/>
          <w:szCs w:val="20"/>
        </w:rPr>
        <w:t>v Mošnově</w:t>
      </w:r>
      <w:r w:rsidR="00BF0F34">
        <w:rPr>
          <w:rFonts w:asciiTheme="minorHAnsi" w:hAnsiTheme="minorHAnsi" w:cs="Arial"/>
          <w:sz w:val="20"/>
          <w:szCs w:val="20"/>
        </w:rPr>
        <w:t>.</w:t>
      </w:r>
      <w:r w:rsidR="005D073C">
        <w:rPr>
          <w:rFonts w:asciiTheme="minorHAnsi" w:hAnsiTheme="minorHAnsi" w:cs="Arial"/>
          <w:sz w:val="20"/>
          <w:szCs w:val="20"/>
        </w:rPr>
        <w:t xml:space="preserve"> </w:t>
      </w:r>
      <w:r w:rsidR="00EF5908">
        <w:rPr>
          <w:rFonts w:asciiTheme="minorHAnsi" w:hAnsiTheme="minorHAnsi" w:cs="Arial"/>
          <w:sz w:val="20"/>
          <w:szCs w:val="20"/>
        </w:rPr>
        <w:t>V</w:t>
      </w:r>
      <w:r w:rsidR="00277916">
        <w:rPr>
          <w:rFonts w:asciiTheme="minorHAnsi" w:hAnsiTheme="minorHAnsi" w:cs="Arial"/>
          <w:sz w:val="20"/>
          <w:szCs w:val="20"/>
        </w:rPr>
        <w:t xml:space="preserve"> 06/2020 </w:t>
      </w:r>
      <w:r w:rsidR="00EF5908">
        <w:rPr>
          <w:rFonts w:asciiTheme="minorHAnsi" w:hAnsiTheme="minorHAnsi" w:cs="Arial"/>
          <w:sz w:val="20"/>
          <w:szCs w:val="20"/>
        </w:rPr>
        <w:t xml:space="preserve">byla </w:t>
      </w:r>
      <w:r w:rsidR="00277916">
        <w:rPr>
          <w:rFonts w:asciiTheme="minorHAnsi" w:hAnsiTheme="minorHAnsi" w:cs="Arial"/>
          <w:sz w:val="20"/>
          <w:szCs w:val="20"/>
        </w:rPr>
        <w:t xml:space="preserve">zahájena výstavba </w:t>
      </w:r>
      <w:r w:rsidR="00804BD6">
        <w:rPr>
          <w:rFonts w:asciiTheme="minorHAnsi" w:hAnsiTheme="minorHAnsi" w:cs="Arial"/>
          <w:sz w:val="20"/>
          <w:szCs w:val="20"/>
        </w:rPr>
        <w:t>nového závodu na pozemku pořízeném z vlastnictví města</w:t>
      </w:r>
      <w:r w:rsidR="004D3675">
        <w:rPr>
          <w:rFonts w:asciiTheme="minorHAnsi" w:hAnsiTheme="minorHAnsi" w:cs="Arial"/>
          <w:sz w:val="20"/>
          <w:szCs w:val="20"/>
        </w:rPr>
        <w:t xml:space="preserve"> o velikosti </w:t>
      </w:r>
      <w:r w:rsidR="00847202">
        <w:rPr>
          <w:rFonts w:asciiTheme="minorHAnsi" w:hAnsiTheme="minorHAnsi" w:cs="Arial"/>
          <w:sz w:val="20"/>
          <w:szCs w:val="20"/>
        </w:rPr>
        <w:br/>
      </w:r>
      <w:r w:rsidR="004D3675">
        <w:rPr>
          <w:rFonts w:asciiTheme="minorHAnsi" w:hAnsiTheme="minorHAnsi" w:cs="Arial"/>
          <w:sz w:val="20"/>
          <w:szCs w:val="20"/>
        </w:rPr>
        <w:t xml:space="preserve">1,93 ha. </w:t>
      </w:r>
      <w:r w:rsidR="00277916">
        <w:rPr>
          <w:rFonts w:asciiTheme="minorHAnsi" w:hAnsiTheme="minorHAnsi" w:cs="Arial"/>
          <w:sz w:val="20"/>
          <w:szCs w:val="20"/>
        </w:rPr>
        <w:t xml:space="preserve">Dokončení se předpokládá v 03/2021, </w:t>
      </w:r>
      <w:r w:rsidR="00D360A0">
        <w:rPr>
          <w:rFonts w:asciiTheme="minorHAnsi" w:hAnsiTheme="minorHAnsi" w:cs="Arial"/>
          <w:sz w:val="20"/>
          <w:szCs w:val="20"/>
        </w:rPr>
        <w:t>v průběhu měsíce 04/2021 je plánováno kolaudační řízení a v 09/2021 stěhování společnosti z pronajatých prostor do nového závodu</w:t>
      </w:r>
      <w:r w:rsidR="00277916">
        <w:rPr>
          <w:rFonts w:asciiTheme="minorHAnsi" w:hAnsiTheme="minorHAnsi" w:cs="Arial"/>
          <w:sz w:val="20"/>
          <w:szCs w:val="20"/>
        </w:rPr>
        <w:t xml:space="preserve">. </w:t>
      </w:r>
      <w:r w:rsidR="00E40504">
        <w:rPr>
          <w:rFonts w:asciiTheme="minorHAnsi" w:hAnsiTheme="minorHAnsi" w:cs="Arial"/>
          <w:sz w:val="20"/>
          <w:szCs w:val="20"/>
        </w:rPr>
        <w:t xml:space="preserve"> </w:t>
      </w:r>
      <w:r w:rsidR="00D34909">
        <w:rPr>
          <w:rFonts w:asciiTheme="minorHAnsi" w:hAnsiTheme="minorHAnsi" w:cs="Arial"/>
          <w:sz w:val="20"/>
          <w:szCs w:val="20"/>
        </w:rPr>
        <w:t xml:space="preserve">V 12/2020 uzavřela společnost </w:t>
      </w:r>
      <w:r w:rsidR="009173FA">
        <w:rPr>
          <w:rFonts w:asciiTheme="minorHAnsi" w:hAnsiTheme="minorHAnsi" w:cs="Arial"/>
          <w:sz w:val="20"/>
          <w:szCs w:val="20"/>
        </w:rPr>
        <w:t xml:space="preserve">s městem </w:t>
      </w:r>
      <w:r w:rsidR="00D34909">
        <w:rPr>
          <w:rFonts w:asciiTheme="minorHAnsi" w:hAnsiTheme="minorHAnsi" w:cs="Arial"/>
          <w:sz w:val="20"/>
          <w:szCs w:val="20"/>
        </w:rPr>
        <w:t xml:space="preserve">kupní smlouvu na </w:t>
      </w:r>
      <w:r w:rsidR="00CE7FBF">
        <w:rPr>
          <w:rFonts w:asciiTheme="minorHAnsi" w:hAnsiTheme="minorHAnsi" w:cs="Arial"/>
          <w:sz w:val="20"/>
          <w:szCs w:val="20"/>
        </w:rPr>
        <w:t>koupi</w:t>
      </w:r>
      <w:r w:rsidR="00D34909">
        <w:rPr>
          <w:rFonts w:asciiTheme="minorHAnsi" w:hAnsiTheme="minorHAnsi" w:cs="Arial"/>
          <w:sz w:val="20"/>
          <w:szCs w:val="20"/>
        </w:rPr>
        <w:t xml:space="preserve"> </w:t>
      </w:r>
      <w:r w:rsidR="009173FA">
        <w:rPr>
          <w:rFonts w:asciiTheme="minorHAnsi" w:hAnsiTheme="minorHAnsi" w:cs="Arial"/>
          <w:sz w:val="20"/>
          <w:szCs w:val="20"/>
        </w:rPr>
        <w:t xml:space="preserve">navazujícího </w:t>
      </w:r>
      <w:r w:rsidR="00D34909">
        <w:rPr>
          <w:rFonts w:asciiTheme="minorHAnsi" w:hAnsiTheme="minorHAnsi" w:cs="Arial"/>
          <w:sz w:val="20"/>
          <w:szCs w:val="20"/>
        </w:rPr>
        <w:t xml:space="preserve">pozemku o </w:t>
      </w:r>
      <w:r w:rsidR="00E00300">
        <w:rPr>
          <w:rFonts w:asciiTheme="minorHAnsi" w:hAnsiTheme="minorHAnsi" w:cs="Arial"/>
          <w:sz w:val="20"/>
          <w:szCs w:val="20"/>
        </w:rPr>
        <w:t>výměře</w:t>
      </w:r>
      <w:r w:rsidR="00D34909">
        <w:rPr>
          <w:rFonts w:asciiTheme="minorHAnsi" w:hAnsiTheme="minorHAnsi" w:cs="Arial"/>
          <w:sz w:val="20"/>
          <w:szCs w:val="20"/>
        </w:rPr>
        <w:t xml:space="preserve"> 464 m</w:t>
      </w:r>
      <w:r w:rsidR="009173FA">
        <w:rPr>
          <w:rFonts w:asciiTheme="minorHAnsi" w:hAnsiTheme="minorHAnsi" w:cs="Arial"/>
          <w:sz w:val="20"/>
          <w:szCs w:val="20"/>
          <w:vertAlign w:val="superscript"/>
        </w:rPr>
        <w:t>2</w:t>
      </w:r>
      <w:r w:rsidR="00D34909">
        <w:rPr>
          <w:rFonts w:asciiTheme="minorHAnsi" w:hAnsiTheme="minorHAnsi" w:cs="Arial"/>
          <w:sz w:val="20"/>
          <w:szCs w:val="20"/>
        </w:rPr>
        <w:t xml:space="preserve"> </w:t>
      </w:r>
      <w:r w:rsidR="009173FA">
        <w:rPr>
          <w:rFonts w:asciiTheme="minorHAnsi" w:hAnsiTheme="minorHAnsi" w:cs="Arial"/>
          <w:sz w:val="20"/>
          <w:szCs w:val="20"/>
        </w:rPr>
        <w:t>za účelem rozšíření plochy pro vybudování areálové komunikace</w:t>
      </w:r>
      <w:r w:rsidR="00E00300">
        <w:rPr>
          <w:rFonts w:asciiTheme="minorHAnsi" w:hAnsiTheme="minorHAnsi" w:cs="Arial"/>
          <w:sz w:val="20"/>
          <w:szCs w:val="20"/>
        </w:rPr>
        <w:t xml:space="preserve"> v </w:t>
      </w:r>
      <w:r w:rsidR="00A637E9">
        <w:rPr>
          <w:rFonts w:asciiTheme="minorHAnsi" w:hAnsiTheme="minorHAnsi" w:cs="Arial"/>
          <w:sz w:val="20"/>
          <w:szCs w:val="20"/>
        </w:rPr>
        <w:t>dostatečné</w:t>
      </w:r>
      <w:r w:rsidR="00E00300">
        <w:rPr>
          <w:rFonts w:asciiTheme="minorHAnsi" w:hAnsiTheme="minorHAnsi" w:cs="Arial"/>
          <w:sz w:val="20"/>
          <w:szCs w:val="20"/>
        </w:rPr>
        <w:t xml:space="preserve"> šíři</w:t>
      </w:r>
      <w:r w:rsidR="009173FA">
        <w:rPr>
          <w:rFonts w:asciiTheme="minorHAnsi" w:hAnsiTheme="minorHAnsi" w:cs="Arial"/>
          <w:sz w:val="20"/>
          <w:szCs w:val="20"/>
        </w:rPr>
        <w:t xml:space="preserve">. </w:t>
      </w:r>
    </w:p>
    <w:p w14:paraId="421AC638" w14:textId="2602B85E" w:rsidR="00581BC9" w:rsidRDefault="00E40504" w:rsidP="00A637E9">
      <w:pPr>
        <w:ind w:left="284"/>
        <w:jc w:val="both"/>
        <w:rPr>
          <w:rFonts w:asciiTheme="minorHAnsi" w:hAnsiTheme="minorHAnsi" w:cs="Arial"/>
          <w:sz w:val="20"/>
          <w:szCs w:val="20"/>
        </w:rPr>
      </w:pPr>
      <w:r>
        <w:rPr>
          <w:rFonts w:asciiTheme="minorHAnsi" w:hAnsiTheme="minorHAnsi" w:cs="Arial"/>
          <w:sz w:val="20"/>
          <w:szCs w:val="20"/>
        </w:rPr>
        <w:t>Investor se zavázal vytvořit min. 50 nových pracovních míst</w:t>
      </w:r>
      <w:r w:rsidR="00E37449">
        <w:rPr>
          <w:rFonts w:asciiTheme="minorHAnsi" w:hAnsiTheme="minorHAnsi" w:cs="Arial"/>
          <w:sz w:val="20"/>
          <w:szCs w:val="20"/>
        </w:rPr>
        <w:t xml:space="preserve"> (z toho 10 PM ve výzkumu a vývoji)</w:t>
      </w:r>
      <w:r>
        <w:rPr>
          <w:rFonts w:asciiTheme="minorHAnsi" w:hAnsiTheme="minorHAnsi" w:cs="Arial"/>
          <w:sz w:val="20"/>
          <w:szCs w:val="20"/>
        </w:rPr>
        <w:t xml:space="preserve">, a to k datu 31. 12. 2024. </w:t>
      </w:r>
    </w:p>
    <w:p w14:paraId="7B97F6BF" w14:textId="4733592D" w:rsidR="00D942EF" w:rsidRPr="00D942EF" w:rsidRDefault="00D942EF" w:rsidP="005665FC">
      <w:pPr>
        <w:spacing w:before="120" w:after="120"/>
        <w:ind w:left="284"/>
        <w:jc w:val="both"/>
        <w:rPr>
          <w:rFonts w:asciiTheme="minorHAnsi" w:hAnsiTheme="minorHAnsi" w:cs="Arial"/>
          <w:b/>
          <w:bCs/>
          <w:sz w:val="20"/>
          <w:szCs w:val="20"/>
        </w:rPr>
      </w:pPr>
      <w:r w:rsidRPr="00D942EF">
        <w:rPr>
          <w:rFonts w:asciiTheme="minorHAnsi" w:hAnsiTheme="minorHAnsi" w:cs="Arial"/>
          <w:b/>
          <w:bCs/>
          <w:sz w:val="20"/>
          <w:szCs w:val="20"/>
        </w:rPr>
        <w:t xml:space="preserve">Vítkovice - výzkum a vývoj - technické aplikace a. s. </w:t>
      </w:r>
      <w:r w:rsidRPr="00D942EF">
        <w:rPr>
          <w:rFonts w:asciiTheme="minorHAnsi" w:hAnsiTheme="minorHAnsi" w:cs="Arial"/>
          <w:i/>
          <w:iCs/>
          <w:sz w:val="20"/>
          <w:szCs w:val="20"/>
        </w:rPr>
        <w:t>(dále jen Vítkovice)</w:t>
      </w:r>
      <w:r>
        <w:rPr>
          <w:rFonts w:asciiTheme="minorHAnsi" w:hAnsiTheme="minorHAnsi" w:cs="Arial"/>
          <w:sz w:val="20"/>
          <w:szCs w:val="20"/>
        </w:rPr>
        <w:t xml:space="preserve"> </w:t>
      </w:r>
      <w:r w:rsidR="007D7484">
        <w:rPr>
          <w:rFonts w:asciiTheme="minorHAnsi" w:hAnsiTheme="minorHAnsi" w:cs="Arial"/>
          <w:sz w:val="20"/>
          <w:szCs w:val="20"/>
        </w:rPr>
        <w:t>–</w:t>
      </w:r>
      <w:r>
        <w:rPr>
          <w:rFonts w:asciiTheme="minorHAnsi" w:hAnsiTheme="minorHAnsi" w:cs="Arial"/>
          <w:sz w:val="20"/>
          <w:szCs w:val="20"/>
        </w:rPr>
        <w:t xml:space="preserve"> </w:t>
      </w:r>
      <w:r w:rsidR="002137D2">
        <w:rPr>
          <w:rFonts w:asciiTheme="minorHAnsi" w:hAnsiTheme="minorHAnsi" w:cs="Arial"/>
          <w:sz w:val="20"/>
          <w:szCs w:val="20"/>
        </w:rPr>
        <w:t>z důvodu</w:t>
      </w:r>
      <w:r w:rsidR="006E39AE">
        <w:rPr>
          <w:rFonts w:asciiTheme="minorHAnsi" w:hAnsiTheme="minorHAnsi" w:cs="Arial"/>
          <w:sz w:val="20"/>
          <w:szCs w:val="20"/>
        </w:rPr>
        <w:t xml:space="preserve"> neplnění smluvních závazků </w:t>
      </w:r>
      <w:r w:rsidR="007779D0">
        <w:rPr>
          <w:rFonts w:asciiTheme="minorHAnsi" w:hAnsiTheme="minorHAnsi" w:cs="Arial"/>
          <w:sz w:val="20"/>
          <w:szCs w:val="20"/>
        </w:rPr>
        <w:br/>
      </w:r>
      <w:r w:rsidR="006E39AE">
        <w:rPr>
          <w:rFonts w:asciiTheme="minorHAnsi" w:hAnsiTheme="minorHAnsi" w:cs="Arial"/>
          <w:sz w:val="20"/>
          <w:szCs w:val="20"/>
        </w:rPr>
        <w:t>ze strany investora se město rozhodlo odstoupit od kupní smlouvy, postup byl schválen ZM v</w:t>
      </w:r>
      <w:r w:rsidR="00AF7E28">
        <w:rPr>
          <w:rFonts w:asciiTheme="minorHAnsi" w:hAnsiTheme="minorHAnsi" w:cs="Arial"/>
          <w:sz w:val="20"/>
          <w:szCs w:val="20"/>
        </w:rPr>
        <w:t> 06/2020</w:t>
      </w:r>
      <w:r w:rsidR="00900217">
        <w:rPr>
          <w:rFonts w:asciiTheme="minorHAnsi" w:hAnsiTheme="minorHAnsi" w:cs="Arial"/>
          <w:sz w:val="20"/>
          <w:szCs w:val="20"/>
        </w:rPr>
        <w:t>.</w:t>
      </w:r>
      <w:r w:rsidR="002137D2">
        <w:rPr>
          <w:rFonts w:asciiTheme="minorHAnsi" w:hAnsiTheme="minorHAnsi" w:cs="Arial"/>
          <w:sz w:val="20"/>
          <w:szCs w:val="20"/>
        </w:rPr>
        <w:t xml:space="preserve"> Písemné odstoupení bylo společnosti doručeno v 07/2020. Vzhledem k tomu, že společnost nezaslala souhlasné prohlášení, na základě kterého by bylo možné zapsat město do katastru nemovitostí jako vlastníka předmětného pozemku (který byl převeden na investora za účelem výstavby), byla ze strany města v 07/2020 podána žaloba na určení vlastnictví k pozemku </w:t>
      </w:r>
      <w:proofErr w:type="spellStart"/>
      <w:r w:rsidR="002137D2">
        <w:rPr>
          <w:rFonts w:asciiTheme="minorHAnsi" w:hAnsiTheme="minorHAnsi" w:cs="Arial"/>
          <w:sz w:val="20"/>
          <w:szCs w:val="20"/>
        </w:rPr>
        <w:t>p.p.č</w:t>
      </w:r>
      <w:proofErr w:type="spellEnd"/>
      <w:r w:rsidR="002137D2">
        <w:rPr>
          <w:rFonts w:asciiTheme="minorHAnsi" w:hAnsiTheme="minorHAnsi" w:cs="Arial"/>
          <w:sz w:val="20"/>
          <w:szCs w:val="20"/>
        </w:rPr>
        <w:t>. 802/83 v </w:t>
      </w:r>
      <w:proofErr w:type="spellStart"/>
      <w:r w:rsidR="002137D2">
        <w:rPr>
          <w:rFonts w:asciiTheme="minorHAnsi" w:hAnsiTheme="minorHAnsi" w:cs="Arial"/>
          <w:sz w:val="20"/>
          <w:szCs w:val="20"/>
        </w:rPr>
        <w:t>k.ú</w:t>
      </w:r>
      <w:proofErr w:type="spellEnd"/>
      <w:r w:rsidR="002137D2">
        <w:rPr>
          <w:rFonts w:asciiTheme="minorHAnsi" w:hAnsiTheme="minorHAnsi" w:cs="Arial"/>
          <w:sz w:val="20"/>
          <w:szCs w:val="20"/>
        </w:rPr>
        <w:t xml:space="preserve">. Mošnov, v 08/2020 podána žaloba na vyloučení nemovité věci z exekuce a žádost </w:t>
      </w:r>
      <w:r w:rsidR="004C35A5">
        <w:rPr>
          <w:rFonts w:asciiTheme="minorHAnsi" w:hAnsiTheme="minorHAnsi" w:cs="Arial"/>
          <w:sz w:val="20"/>
          <w:szCs w:val="20"/>
        </w:rPr>
        <w:br/>
      </w:r>
      <w:r w:rsidR="002137D2">
        <w:rPr>
          <w:rFonts w:asciiTheme="minorHAnsi" w:hAnsiTheme="minorHAnsi" w:cs="Arial"/>
          <w:sz w:val="20"/>
          <w:szCs w:val="20"/>
        </w:rPr>
        <w:t xml:space="preserve">o odklad exekuce, </w:t>
      </w:r>
      <w:r w:rsidR="00E71333">
        <w:rPr>
          <w:rFonts w:asciiTheme="minorHAnsi" w:hAnsiTheme="minorHAnsi" w:cs="Arial"/>
          <w:sz w:val="20"/>
          <w:szCs w:val="20"/>
        </w:rPr>
        <w:t>na jejímž podkladě</w:t>
      </w:r>
      <w:r w:rsidR="002137D2">
        <w:rPr>
          <w:rFonts w:asciiTheme="minorHAnsi" w:hAnsiTheme="minorHAnsi" w:cs="Arial"/>
          <w:sz w:val="20"/>
          <w:szCs w:val="20"/>
        </w:rPr>
        <w:t xml:space="preserve"> bylo soudem vydáno usnesení o částečném odložení exekuce v rozsahu prodeje předmětného pozemku. </w:t>
      </w:r>
      <w:r w:rsidR="007779D0">
        <w:rPr>
          <w:rFonts w:asciiTheme="minorHAnsi" w:hAnsiTheme="minorHAnsi" w:cs="Arial"/>
          <w:sz w:val="20"/>
          <w:szCs w:val="20"/>
        </w:rPr>
        <w:t xml:space="preserve">Soudní řízení ve věci určení vlastnictví k pozemku a vyloučení nemovité věci z exekuce stále probíhá. </w:t>
      </w:r>
    </w:p>
    <w:p w14:paraId="4094D038" w14:textId="77777777" w:rsidR="00474D21" w:rsidRPr="00474D21" w:rsidRDefault="005665FC" w:rsidP="00474D21">
      <w:pPr>
        <w:numPr>
          <w:ilvl w:val="0"/>
          <w:numId w:val="3"/>
        </w:numPr>
        <w:ind w:left="284" w:hanging="284"/>
        <w:jc w:val="both"/>
        <w:rPr>
          <w:rFonts w:asciiTheme="minorHAnsi" w:hAnsiTheme="minorHAnsi" w:cs="Arial"/>
          <w:b/>
          <w:sz w:val="22"/>
          <w:szCs w:val="22"/>
        </w:rPr>
      </w:pPr>
      <w:r w:rsidRPr="00E36DA4">
        <w:rPr>
          <w:rFonts w:asciiTheme="minorHAnsi" w:hAnsiTheme="minorHAnsi" w:cs="Arial"/>
          <w:sz w:val="20"/>
          <w:szCs w:val="20"/>
        </w:rPr>
        <w:t xml:space="preserve">ve sledovaném období pokračovala jednání </w:t>
      </w:r>
      <w:r w:rsidR="00230DC1" w:rsidRPr="00E36DA4">
        <w:rPr>
          <w:rFonts w:asciiTheme="minorHAnsi" w:hAnsiTheme="minorHAnsi" w:cs="Arial"/>
          <w:sz w:val="20"/>
          <w:szCs w:val="20"/>
        </w:rPr>
        <w:t>se zájemci</w:t>
      </w:r>
      <w:r w:rsidRPr="00E36DA4">
        <w:rPr>
          <w:rFonts w:asciiTheme="minorHAnsi" w:hAnsiTheme="minorHAnsi" w:cs="Arial"/>
          <w:sz w:val="20"/>
          <w:szCs w:val="20"/>
        </w:rPr>
        <w:t xml:space="preserve"> o umístění do strategické průmyslové zóny</w:t>
      </w:r>
      <w:r w:rsidR="00230DC1" w:rsidRPr="00E36DA4">
        <w:rPr>
          <w:rFonts w:asciiTheme="minorHAnsi" w:hAnsiTheme="minorHAnsi" w:cs="Arial"/>
          <w:sz w:val="20"/>
          <w:szCs w:val="20"/>
        </w:rPr>
        <w:t xml:space="preserve">, přerušovaná aktuální globální pandemickou situací. </w:t>
      </w:r>
      <w:r w:rsidR="00B7641A" w:rsidRPr="00E36DA4">
        <w:rPr>
          <w:rFonts w:asciiTheme="minorHAnsi" w:hAnsiTheme="minorHAnsi" w:cs="Arial"/>
          <w:sz w:val="20"/>
          <w:szCs w:val="20"/>
        </w:rPr>
        <w:t xml:space="preserve">S koncem roku 2020 se postupně upřesňovaly smluvní podmínky kontraktu s italskou společností IRCE </w:t>
      </w:r>
      <w:proofErr w:type="spellStart"/>
      <w:r w:rsidR="00B7641A" w:rsidRPr="00E36DA4">
        <w:rPr>
          <w:rFonts w:asciiTheme="minorHAnsi" w:hAnsiTheme="minorHAnsi" w:cs="Arial"/>
          <w:sz w:val="20"/>
          <w:szCs w:val="20"/>
        </w:rPr>
        <w:t>S.p.A</w:t>
      </w:r>
      <w:proofErr w:type="spellEnd"/>
      <w:r w:rsidR="00B7641A" w:rsidRPr="00E36DA4">
        <w:rPr>
          <w:rFonts w:asciiTheme="minorHAnsi" w:hAnsiTheme="minorHAnsi" w:cs="Arial"/>
          <w:sz w:val="20"/>
          <w:szCs w:val="20"/>
        </w:rPr>
        <w:t xml:space="preserve">., která má </w:t>
      </w:r>
      <w:r w:rsidR="00682FD5">
        <w:rPr>
          <w:rFonts w:asciiTheme="minorHAnsi" w:hAnsiTheme="minorHAnsi" w:cs="Arial"/>
          <w:sz w:val="20"/>
          <w:szCs w:val="20"/>
        </w:rPr>
        <w:t xml:space="preserve">dlouhodobý </w:t>
      </w:r>
      <w:r w:rsidR="00B7641A" w:rsidRPr="00E36DA4">
        <w:rPr>
          <w:rFonts w:asciiTheme="minorHAnsi" w:hAnsiTheme="minorHAnsi" w:cs="Arial"/>
          <w:sz w:val="20"/>
          <w:szCs w:val="20"/>
        </w:rPr>
        <w:t xml:space="preserve">zájem o koupi pozemku o velikosti 5 ha. Předmětem činnosti má být výroba magnetických vinutých cívek z mědi </w:t>
      </w:r>
      <w:r w:rsidR="00251D67" w:rsidRPr="00E36DA4">
        <w:rPr>
          <w:rFonts w:asciiTheme="minorHAnsi" w:hAnsiTheme="minorHAnsi" w:cs="Arial"/>
          <w:sz w:val="20"/>
          <w:szCs w:val="20"/>
        </w:rPr>
        <w:t>a</w:t>
      </w:r>
      <w:r w:rsidR="00B7641A" w:rsidRPr="00E36DA4">
        <w:rPr>
          <w:rFonts w:asciiTheme="minorHAnsi" w:hAnsiTheme="minorHAnsi" w:cs="Arial"/>
          <w:sz w:val="20"/>
          <w:szCs w:val="20"/>
        </w:rPr>
        <w:t xml:space="preserve"> hliníku, za použití nejpokročilejších technologií dle standardů průmyslu 4.0</w:t>
      </w:r>
      <w:r w:rsidR="00251D67" w:rsidRPr="00E36DA4">
        <w:rPr>
          <w:rFonts w:asciiTheme="minorHAnsi" w:hAnsiTheme="minorHAnsi" w:cs="Arial"/>
          <w:sz w:val="20"/>
          <w:szCs w:val="20"/>
        </w:rPr>
        <w:t xml:space="preserve">. Společnost je připravena vytvořit cca 100 nových pracovních míst a v průběhu pětiletého období </w:t>
      </w:r>
    </w:p>
    <w:p w14:paraId="6B46218D" w14:textId="2804D17B" w:rsidR="0045491E" w:rsidRPr="00E36DA4" w:rsidRDefault="00251D67" w:rsidP="00474D21">
      <w:pPr>
        <w:ind w:firstLine="284"/>
        <w:rPr>
          <w:rFonts w:asciiTheme="minorHAnsi" w:hAnsiTheme="minorHAnsi" w:cs="Arial"/>
          <w:b/>
          <w:sz w:val="22"/>
          <w:szCs w:val="22"/>
        </w:rPr>
      </w:pPr>
      <w:r w:rsidRPr="00E36DA4">
        <w:rPr>
          <w:rFonts w:asciiTheme="minorHAnsi" w:hAnsiTheme="minorHAnsi" w:cs="Arial"/>
          <w:sz w:val="20"/>
          <w:szCs w:val="20"/>
        </w:rPr>
        <w:t xml:space="preserve">investovat do dlouhodobého majetku částku až 943 mil. Kč. </w:t>
      </w:r>
      <w:r w:rsidR="005665FC" w:rsidRPr="00E36DA4">
        <w:rPr>
          <w:rFonts w:asciiTheme="minorHAnsi" w:hAnsiTheme="minorHAnsi" w:cs="Arial"/>
          <w:sz w:val="20"/>
          <w:szCs w:val="20"/>
        </w:rPr>
        <w:br/>
      </w:r>
    </w:p>
    <w:p w14:paraId="7C81FC54" w14:textId="77777777" w:rsidR="0045491E" w:rsidRPr="006B165B" w:rsidRDefault="00A34C35" w:rsidP="00D87892">
      <w:pPr>
        <w:spacing w:after="120"/>
        <w:ind w:left="284"/>
        <w:jc w:val="both"/>
        <w:rPr>
          <w:rFonts w:asciiTheme="minorHAnsi" w:hAnsiTheme="minorHAnsi" w:cs="Arial"/>
          <w:b/>
          <w:sz w:val="22"/>
          <w:szCs w:val="22"/>
        </w:rPr>
      </w:pPr>
      <w:r w:rsidRPr="006B165B">
        <w:rPr>
          <w:rFonts w:asciiTheme="minorHAnsi" w:hAnsiTheme="minorHAnsi" w:cs="Arial"/>
          <w:b/>
          <w:sz w:val="22"/>
          <w:szCs w:val="22"/>
        </w:rPr>
        <w:t>Moravskoslezský kraj</w:t>
      </w:r>
      <w:r w:rsidR="003F44E3" w:rsidRPr="006B165B">
        <w:rPr>
          <w:rFonts w:asciiTheme="minorHAnsi" w:hAnsiTheme="minorHAnsi" w:cs="Arial"/>
          <w:b/>
          <w:sz w:val="22"/>
          <w:szCs w:val="22"/>
        </w:rPr>
        <w:t xml:space="preserve"> </w:t>
      </w:r>
    </w:p>
    <w:p w14:paraId="21BA281D" w14:textId="77777777" w:rsidR="00A34C35" w:rsidRDefault="0045491E" w:rsidP="00D87892">
      <w:pPr>
        <w:spacing w:after="120"/>
        <w:ind w:left="284"/>
        <w:jc w:val="both"/>
        <w:rPr>
          <w:rFonts w:asciiTheme="minorHAnsi" w:hAnsiTheme="minorHAnsi" w:cs="Arial"/>
          <w:b/>
          <w:sz w:val="20"/>
          <w:szCs w:val="20"/>
        </w:rPr>
      </w:pPr>
      <w:r>
        <w:rPr>
          <w:rFonts w:asciiTheme="minorHAnsi" w:hAnsiTheme="minorHAnsi" w:cs="Arial"/>
          <w:b/>
          <w:sz w:val="20"/>
          <w:szCs w:val="20"/>
        </w:rPr>
        <w:t>D</w:t>
      </w:r>
      <w:r w:rsidR="003F44E3">
        <w:rPr>
          <w:rFonts w:asciiTheme="minorHAnsi" w:hAnsiTheme="minorHAnsi" w:cs="Arial"/>
          <w:b/>
          <w:sz w:val="20"/>
          <w:szCs w:val="20"/>
        </w:rPr>
        <w:t xml:space="preserve">arování pozemků </w:t>
      </w:r>
    </w:p>
    <w:p w14:paraId="7DA1B547" w14:textId="5D279702" w:rsidR="008161B4" w:rsidRDefault="008161B4" w:rsidP="00D87892">
      <w:pPr>
        <w:spacing w:after="120"/>
        <w:ind w:left="284"/>
        <w:jc w:val="both"/>
        <w:rPr>
          <w:rFonts w:asciiTheme="minorHAnsi" w:hAnsiTheme="minorHAnsi" w:cs="Arial"/>
          <w:bCs/>
          <w:sz w:val="20"/>
          <w:szCs w:val="20"/>
        </w:rPr>
      </w:pPr>
      <w:r w:rsidRPr="008161B4">
        <w:rPr>
          <w:rFonts w:asciiTheme="minorHAnsi" w:hAnsiTheme="minorHAnsi" w:cs="Arial"/>
          <w:bCs/>
          <w:sz w:val="20"/>
          <w:szCs w:val="20"/>
        </w:rPr>
        <w:t xml:space="preserve">- </w:t>
      </w:r>
      <w:r w:rsidR="00DC050D">
        <w:rPr>
          <w:rFonts w:asciiTheme="minorHAnsi" w:hAnsiTheme="minorHAnsi" w:cs="Arial"/>
          <w:bCs/>
          <w:sz w:val="20"/>
          <w:szCs w:val="20"/>
        </w:rPr>
        <w:t>v 0</w:t>
      </w:r>
      <w:r w:rsidR="003703B2">
        <w:rPr>
          <w:rFonts w:asciiTheme="minorHAnsi" w:hAnsiTheme="minorHAnsi" w:cs="Arial"/>
          <w:bCs/>
          <w:sz w:val="20"/>
          <w:szCs w:val="20"/>
        </w:rPr>
        <w:t>9/2020 bylo na jednání meziresortní hodnotitelské komise při MPO schváleno darování pozemků statutárního města Ostravy do vlastnictví Moravskoslezského kraje</w:t>
      </w:r>
      <w:r w:rsidR="00E26C68">
        <w:rPr>
          <w:rFonts w:asciiTheme="minorHAnsi" w:hAnsiTheme="minorHAnsi" w:cs="Arial"/>
          <w:bCs/>
          <w:sz w:val="20"/>
          <w:szCs w:val="20"/>
        </w:rPr>
        <w:t xml:space="preserve">. </w:t>
      </w:r>
      <w:r w:rsidR="00ED0969">
        <w:rPr>
          <w:rFonts w:asciiTheme="minorHAnsi" w:hAnsiTheme="minorHAnsi" w:cs="Arial"/>
          <w:bCs/>
          <w:sz w:val="20"/>
          <w:szCs w:val="20"/>
        </w:rPr>
        <w:t xml:space="preserve">Ve stejném měsíci byla podepsána darovací smlouva. </w:t>
      </w:r>
      <w:r w:rsidR="00DC050D">
        <w:rPr>
          <w:rFonts w:asciiTheme="minorHAnsi" w:hAnsiTheme="minorHAnsi" w:cs="Arial"/>
          <w:bCs/>
          <w:sz w:val="20"/>
          <w:szCs w:val="20"/>
        </w:rPr>
        <w:t xml:space="preserve">Jedná se o pozemky </w:t>
      </w:r>
      <w:r w:rsidR="00E12370">
        <w:rPr>
          <w:rFonts w:asciiTheme="minorHAnsi" w:hAnsiTheme="minorHAnsi" w:cs="Arial"/>
          <w:bCs/>
          <w:sz w:val="20"/>
          <w:szCs w:val="20"/>
        </w:rPr>
        <w:t xml:space="preserve">o rozloze cca 9,6 ha (včetně na nich umístěných staveb technické a dopravní infrastruktury) </w:t>
      </w:r>
      <w:r w:rsidR="00DC050D">
        <w:rPr>
          <w:rFonts w:asciiTheme="minorHAnsi" w:hAnsiTheme="minorHAnsi" w:cs="Arial"/>
          <w:bCs/>
          <w:sz w:val="20"/>
          <w:szCs w:val="20"/>
        </w:rPr>
        <w:t>nacházející se na rozhraní rozvojových ploch města a kraje</w:t>
      </w:r>
      <w:r w:rsidR="00E12370">
        <w:rPr>
          <w:rFonts w:asciiTheme="minorHAnsi" w:hAnsiTheme="minorHAnsi" w:cs="Arial"/>
          <w:bCs/>
          <w:sz w:val="20"/>
          <w:szCs w:val="20"/>
        </w:rPr>
        <w:t xml:space="preserve"> v k. </w:t>
      </w:r>
      <w:proofErr w:type="spellStart"/>
      <w:r w:rsidR="00E12370">
        <w:rPr>
          <w:rFonts w:asciiTheme="minorHAnsi" w:hAnsiTheme="minorHAnsi" w:cs="Arial"/>
          <w:bCs/>
          <w:sz w:val="20"/>
          <w:szCs w:val="20"/>
        </w:rPr>
        <w:t>ú.</w:t>
      </w:r>
      <w:proofErr w:type="spellEnd"/>
      <w:r w:rsidR="00E12370">
        <w:rPr>
          <w:rFonts w:asciiTheme="minorHAnsi" w:hAnsiTheme="minorHAnsi" w:cs="Arial"/>
          <w:bCs/>
          <w:sz w:val="20"/>
          <w:szCs w:val="20"/>
        </w:rPr>
        <w:t xml:space="preserve"> Mošnov, k. </w:t>
      </w:r>
      <w:proofErr w:type="spellStart"/>
      <w:r w:rsidR="00E12370">
        <w:rPr>
          <w:rFonts w:asciiTheme="minorHAnsi" w:hAnsiTheme="minorHAnsi" w:cs="Arial"/>
          <w:bCs/>
          <w:sz w:val="20"/>
          <w:szCs w:val="20"/>
        </w:rPr>
        <w:t>ú.</w:t>
      </w:r>
      <w:proofErr w:type="spellEnd"/>
      <w:r w:rsidR="00E12370">
        <w:rPr>
          <w:rFonts w:asciiTheme="minorHAnsi" w:hAnsiTheme="minorHAnsi" w:cs="Arial"/>
          <w:bCs/>
          <w:sz w:val="20"/>
          <w:szCs w:val="20"/>
        </w:rPr>
        <w:t xml:space="preserve"> Sedlnice a k. </w:t>
      </w:r>
      <w:proofErr w:type="spellStart"/>
      <w:r w:rsidR="00E12370">
        <w:rPr>
          <w:rFonts w:asciiTheme="minorHAnsi" w:hAnsiTheme="minorHAnsi" w:cs="Arial"/>
          <w:bCs/>
          <w:sz w:val="20"/>
          <w:szCs w:val="20"/>
        </w:rPr>
        <w:t>ú.</w:t>
      </w:r>
      <w:proofErr w:type="spellEnd"/>
      <w:r w:rsidR="00E12370">
        <w:rPr>
          <w:rFonts w:asciiTheme="minorHAnsi" w:hAnsiTheme="minorHAnsi" w:cs="Arial"/>
          <w:bCs/>
          <w:sz w:val="20"/>
          <w:szCs w:val="20"/>
        </w:rPr>
        <w:t xml:space="preserve"> Harty, severovýchodně od Malé rozvojové z</w:t>
      </w:r>
      <w:r w:rsidR="00355B33">
        <w:rPr>
          <w:rFonts w:asciiTheme="minorHAnsi" w:hAnsiTheme="minorHAnsi" w:cs="Arial"/>
          <w:bCs/>
          <w:sz w:val="20"/>
          <w:szCs w:val="20"/>
        </w:rPr>
        <w:t xml:space="preserve">óny. </w:t>
      </w:r>
    </w:p>
    <w:p w14:paraId="3FB44F57" w14:textId="6E8F3551" w:rsidR="008161B4" w:rsidRPr="00A34C35" w:rsidRDefault="008161B4" w:rsidP="008161B4">
      <w:pPr>
        <w:spacing w:after="120"/>
        <w:ind w:left="284"/>
        <w:jc w:val="both"/>
        <w:rPr>
          <w:rFonts w:asciiTheme="minorHAnsi" w:hAnsiTheme="minorHAnsi" w:cs="Arial"/>
          <w:bCs/>
          <w:sz w:val="20"/>
          <w:szCs w:val="20"/>
        </w:rPr>
      </w:pPr>
      <w:r w:rsidRPr="0082039C">
        <w:rPr>
          <w:rFonts w:asciiTheme="minorHAnsi" w:hAnsiTheme="minorHAnsi" w:cs="Arial"/>
          <w:sz w:val="20"/>
          <w:szCs w:val="20"/>
        </w:rPr>
        <w:t>-</w:t>
      </w:r>
      <w:r>
        <w:rPr>
          <w:rFonts w:asciiTheme="minorHAnsi" w:hAnsiTheme="minorHAnsi" w:cs="Arial"/>
          <w:bCs/>
          <w:sz w:val="20"/>
          <w:szCs w:val="20"/>
        </w:rPr>
        <w:t xml:space="preserve"> </w:t>
      </w:r>
      <w:r w:rsidR="00ED0969">
        <w:rPr>
          <w:rFonts w:asciiTheme="minorHAnsi" w:hAnsiTheme="minorHAnsi" w:cs="Arial"/>
          <w:bCs/>
          <w:sz w:val="20"/>
          <w:szCs w:val="20"/>
        </w:rPr>
        <w:t>v 09/2020 byla rovněž podepsána darovací smlouva, na základě které nabylo město od MSK pozemky o rozloze cca 10,1 ha navazující na území Malé rozvojové zóny</w:t>
      </w:r>
      <w:r w:rsidR="00DC050D">
        <w:rPr>
          <w:rFonts w:asciiTheme="minorHAnsi" w:hAnsiTheme="minorHAnsi" w:cs="Arial"/>
          <w:bCs/>
          <w:sz w:val="20"/>
          <w:szCs w:val="20"/>
        </w:rPr>
        <w:t xml:space="preserve">. </w:t>
      </w:r>
      <w:r>
        <w:rPr>
          <w:rFonts w:asciiTheme="minorHAnsi" w:hAnsiTheme="minorHAnsi" w:cs="Arial"/>
          <w:bCs/>
          <w:sz w:val="20"/>
          <w:szCs w:val="20"/>
        </w:rPr>
        <w:t xml:space="preserve"> </w:t>
      </w:r>
      <w:r w:rsidR="00ED0969">
        <w:rPr>
          <w:rFonts w:asciiTheme="minorHAnsi" w:hAnsiTheme="minorHAnsi" w:cs="Arial"/>
          <w:bCs/>
          <w:sz w:val="20"/>
          <w:szCs w:val="20"/>
        </w:rPr>
        <w:t xml:space="preserve">Tím došlo ke scelení plochy ve vlastnictví města a zvýšení potenciálu jejího využití. </w:t>
      </w:r>
    </w:p>
    <w:p w14:paraId="0354A1D6" w14:textId="63C456E7" w:rsidR="00A34C35" w:rsidRDefault="00A34C35" w:rsidP="00D87892">
      <w:pPr>
        <w:spacing w:after="120"/>
        <w:ind w:left="284"/>
        <w:jc w:val="both"/>
        <w:rPr>
          <w:rFonts w:asciiTheme="minorHAnsi" w:hAnsiTheme="minorHAnsi" w:cs="Arial"/>
          <w:bCs/>
          <w:sz w:val="20"/>
          <w:szCs w:val="20"/>
        </w:rPr>
      </w:pPr>
      <w:r>
        <w:rPr>
          <w:rFonts w:asciiTheme="minorHAnsi" w:hAnsiTheme="minorHAnsi" w:cs="Arial"/>
          <w:b/>
          <w:sz w:val="20"/>
          <w:szCs w:val="20"/>
        </w:rPr>
        <w:t xml:space="preserve"> </w:t>
      </w:r>
      <w:r w:rsidRPr="005F50A8">
        <w:rPr>
          <w:rFonts w:asciiTheme="minorHAnsi" w:hAnsiTheme="minorHAnsi" w:cs="Arial"/>
          <w:bCs/>
          <w:sz w:val="20"/>
          <w:szCs w:val="20"/>
        </w:rPr>
        <w:t xml:space="preserve">- </w:t>
      </w:r>
      <w:r w:rsidR="00ED0969">
        <w:rPr>
          <w:rFonts w:asciiTheme="minorHAnsi" w:hAnsiTheme="minorHAnsi" w:cs="Arial"/>
          <w:bCs/>
          <w:sz w:val="20"/>
          <w:szCs w:val="20"/>
        </w:rPr>
        <w:t xml:space="preserve">hlavním smyslem a cílem vzájemných darů pozemků a staveb bylo naplnění dlouhodobé koncepce spočívající </w:t>
      </w:r>
      <w:r w:rsidR="00C80C6D">
        <w:rPr>
          <w:rFonts w:asciiTheme="minorHAnsi" w:hAnsiTheme="minorHAnsi" w:cs="Arial"/>
          <w:bCs/>
          <w:sz w:val="20"/>
          <w:szCs w:val="20"/>
        </w:rPr>
        <w:br/>
      </w:r>
      <w:r w:rsidR="00ED0969">
        <w:rPr>
          <w:rFonts w:asciiTheme="minorHAnsi" w:hAnsiTheme="minorHAnsi" w:cs="Arial"/>
          <w:bCs/>
          <w:sz w:val="20"/>
          <w:szCs w:val="20"/>
        </w:rPr>
        <w:t xml:space="preserve">ve sjednocení správy majetku dotčeného realizací konkrétních projektů </w:t>
      </w:r>
      <w:r w:rsidR="00237638">
        <w:rPr>
          <w:rFonts w:asciiTheme="minorHAnsi" w:hAnsiTheme="minorHAnsi" w:cs="Arial"/>
          <w:bCs/>
          <w:sz w:val="20"/>
          <w:szCs w:val="20"/>
        </w:rPr>
        <w:t xml:space="preserve">města a kraje </w:t>
      </w:r>
      <w:r w:rsidR="00ED0969">
        <w:rPr>
          <w:rFonts w:asciiTheme="minorHAnsi" w:hAnsiTheme="minorHAnsi" w:cs="Arial"/>
          <w:bCs/>
          <w:sz w:val="20"/>
          <w:szCs w:val="20"/>
        </w:rPr>
        <w:t xml:space="preserve">pod jednoho vlastníka a současně vytvoření předpokladů pro budoucí řešení majetkových záležitostí </w:t>
      </w:r>
      <w:r w:rsidR="00D367D3">
        <w:rPr>
          <w:rFonts w:asciiTheme="minorHAnsi" w:hAnsiTheme="minorHAnsi" w:cs="Arial"/>
          <w:bCs/>
          <w:sz w:val="20"/>
          <w:szCs w:val="20"/>
        </w:rPr>
        <w:t xml:space="preserve">v průmyslové zóně </w:t>
      </w:r>
      <w:r w:rsidR="00237638">
        <w:rPr>
          <w:rFonts w:asciiTheme="minorHAnsi" w:hAnsiTheme="minorHAnsi" w:cs="Arial"/>
          <w:bCs/>
          <w:sz w:val="20"/>
          <w:szCs w:val="20"/>
        </w:rPr>
        <w:t xml:space="preserve">ve vazbě na níže zmiňovanou „Rozvojovou studii rozšířeného zájmového území Mošnov“. </w:t>
      </w:r>
      <w:r w:rsidR="00E31742" w:rsidRPr="00442851">
        <w:rPr>
          <w:rFonts w:asciiTheme="minorHAnsi" w:hAnsiTheme="minorHAnsi" w:cs="Arial"/>
          <w:bCs/>
          <w:sz w:val="20"/>
          <w:szCs w:val="20"/>
        </w:rPr>
        <w:t xml:space="preserve"> </w:t>
      </w:r>
    </w:p>
    <w:p w14:paraId="49A2F1A6" w14:textId="0C22CB1D" w:rsidR="00A70849" w:rsidRDefault="0045491E" w:rsidP="00A70849">
      <w:pPr>
        <w:spacing w:after="120"/>
        <w:ind w:left="284"/>
        <w:jc w:val="both"/>
        <w:rPr>
          <w:rFonts w:asciiTheme="minorHAnsi" w:hAnsiTheme="minorHAnsi" w:cs="Arial"/>
          <w:b/>
          <w:sz w:val="20"/>
          <w:szCs w:val="20"/>
        </w:rPr>
      </w:pPr>
      <w:r>
        <w:rPr>
          <w:rFonts w:asciiTheme="minorHAnsi" w:hAnsiTheme="minorHAnsi" w:cs="Arial"/>
          <w:b/>
          <w:sz w:val="20"/>
          <w:szCs w:val="20"/>
        </w:rPr>
        <w:lastRenderedPageBreak/>
        <w:t>R</w:t>
      </w:r>
      <w:r w:rsidR="00A70849">
        <w:rPr>
          <w:rFonts w:asciiTheme="minorHAnsi" w:hAnsiTheme="minorHAnsi" w:cs="Arial"/>
          <w:b/>
          <w:sz w:val="20"/>
          <w:szCs w:val="20"/>
        </w:rPr>
        <w:t>ozvojová studie rozšířeného zájmového území Mošnov</w:t>
      </w:r>
      <w:r w:rsidR="00CC12B9">
        <w:rPr>
          <w:rFonts w:asciiTheme="minorHAnsi" w:hAnsiTheme="minorHAnsi" w:cs="Arial"/>
          <w:b/>
          <w:sz w:val="20"/>
          <w:szCs w:val="20"/>
        </w:rPr>
        <w:t xml:space="preserve">, Memorandum o vzájemné spolupráci a koordinaci </w:t>
      </w:r>
      <w:r w:rsidR="00CC12B9">
        <w:rPr>
          <w:rFonts w:asciiTheme="minorHAnsi" w:hAnsiTheme="minorHAnsi" w:cs="Arial"/>
          <w:b/>
          <w:sz w:val="20"/>
          <w:szCs w:val="20"/>
        </w:rPr>
        <w:br/>
        <w:t>při přípravě a realizaci projektů v rozšířeném zájmovém území Mošnov</w:t>
      </w:r>
      <w:r w:rsidR="00A70849">
        <w:rPr>
          <w:rFonts w:asciiTheme="minorHAnsi" w:hAnsiTheme="minorHAnsi" w:cs="Arial"/>
          <w:b/>
          <w:sz w:val="20"/>
          <w:szCs w:val="20"/>
        </w:rPr>
        <w:t xml:space="preserve"> </w:t>
      </w:r>
    </w:p>
    <w:p w14:paraId="0B1D5828" w14:textId="6D5E3617" w:rsidR="00CC12B9" w:rsidRDefault="00CC12B9" w:rsidP="003735D4">
      <w:pPr>
        <w:pStyle w:val="Odstavecseseznamem"/>
        <w:numPr>
          <w:ilvl w:val="0"/>
          <w:numId w:val="32"/>
        </w:numPr>
        <w:spacing w:after="120"/>
        <w:ind w:left="357" w:hanging="357"/>
        <w:jc w:val="both"/>
        <w:rPr>
          <w:rFonts w:asciiTheme="minorHAnsi" w:hAnsiTheme="minorHAnsi" w:cs="Arial"/>
          <w:bCs/>
          <w:sz w:val="20"/>
          <w:szCs w:val="20"/>
        </w:rPr>
      </w:pPr>
      <w:r>
        <w:rPr>
          <w:rFonts w:asciiTheme="minorHAnsi" w:hAnsiTheme="minorHAnsi" w:cs="Arial"/>
          <w:bCs/>
          <w:sz w:val="20"/>
          <w:szCs w:val="20"/>
        </w:rPr>
        <w:t>tzv. rozšířené zájmové území Mošnov zahrnuje plochu</w:t>
      </w:r>
      <w:r w:rsidR="004D2D38">
        <w:rPr>
          <w:rFonts w:asciiTheme="minorHAnsi" w:hAnsiTheme="minorHAnsi" w:cs="Arial"/>
          <w:bCs/>
          <w:sz w:val="20"/>
          <w:szCs w:val="20"/>
        </w:rPr>
        <w:t xml:space="preserve"> Strategické průmyslové zóny Ostrava-Mošnov, </w:t>
      </w:r>
      <w:r>
        <w:rPr>
          <w:rFonts w:asciiTheme="minorHAnsi" w:hAnsiTheme="minorHAnsi" w:cs="Arial"/>
          <w:bCs/>
          <w:sz w:val="20"/>
          <w:szCs w:val="20"/>
        </w:rPr>
        <w:t xml:space="preserve">Obchodně-podnikatelského areálu v území </w:t>
      </w:r>
      <w:proofErr w:type="spellStart"/>
      <w:r>
        <w:rPr>
          <w:rFonts w:asciiTheme="minorHAnsi" w:hAnsiTheme="minorHAnsi" w:cs="Arial"/>
          <w:bCs/>
          <w:sz w:val="20"/>
          <w:szCs w:val="20"/>
        </w:rPr>
        <w:t>předletištního</w:t>
      </w:r>
      <w:proofErr w:type="spellEnd"/>
      <w:r>
        <w:rPr>
          <w:rFonts w:asciiTheme="minorHAnsi" w:hAnsiTheme="minorHAnsi" w:cs="Arial"/>
          <w:bCs/>
          <w:sz w:val="20"/>
          <w:szCs w:val="20"/>
        </w:rPr>
        <w:t xml:space="preserve"> prostoru</w:t>
      </w:r>
      <w:r w:rsidR="00DF345C">
        <w:rPr>
          <w:rFonts w:asciiTheme="minorHAnsi" w:hAnsiTheme="minorHAnsi" w:cs="Arial"/>
          <w:bCs/>
          <w:sz w:val="20"/>
          <w:szCs w:val="20"/>
        </w:rPr>
        <w:t>, Malou rozvojovou zónu (</w:t>
      </w:r>
      <w:r w:rsidR="00B622FB">
        <w:rPr>
          <w:rFonts w:asciiTheme="minorHAnsi" w:hAnsiTheme="minorHAnsi" w:cs="Arial"/>
          <w:bCs/>
          <w:sz w:val="20"/>
          <w:szCs w:val="20"/>
        </w:rPr>
        <w:t>spravuje</w:t>
      </w:r>
      <w:r w:rsidR="00DF345C">
        <w:rPr>
          <w:rFonts w:asciiTheme="minorHAnsi" w:hAnsiTheme="minorHAnsi" w:cs="Arial"/>
          <w:bCs/>
          <w:sz w:val="20"/>
          <w:szCs w:val="20"/>
        </w:rPr>
        <w:t xml:space="preserve"> SMO) a dále </w:t>
      </w:r>
      <w:r w:rsidR="004D2D38">
        <w:rPr>
          <w:rFonts w:asciiTheme="minorHAnsi" w:hAnsiTheme="minorHAnsi" w:cs="Arial"/>
          <w:bCs/>
          <w:sz w:val="20"/>
          <w:szCs w:val="20"/>
        </w:rPr>
        <w:t xml:space="preserve">Letiště Leoše Janáčka Ostrava, Logistické centrum Mošnov (dříve Multimodální </w:t>
      </w:r>
      <w:proofErr w:type="spellStart"/>
      <w:r w:rsidR="004D2D38">
        <w:rPr>
          <w:rFonts w:asciiTheme="minorHAnsi" w:hAnsiTheme="minorHAnsi" w:cs="Arial"/>
          <w:bCs/>
          <w:sz w:val="20"/>
          <w:szCs w:val="20"/>
        </w:rPr>
        <w:t>cargo</w:t>
      </w:r>
      <w:proofErr w:type="spellEnd"/>
      <w:r w:rsidR="004D2D38">
        <w:rPr>
          <w:rFonts w:asciiTheme="minorHAnsi" w:hAnsiTheme="minorHAnsi" w:cs="Arial"/>
          <w:bCs/>
          <w:sz w:val="20"/>
          <w:szCs w:val="20"/>
        </w:rPr>
        <w:t xml:space="preserve"> Mošnov), </w:t>
      </w:r>
      <w:r w:rsidR="00DF345C">
        <w:rPr>
          <w:rFonts w:asciiTheme="minorHAnsi" w:hAnsiTheme="minorHAnsi" w:cs="Arial"/>
          <w:bCs/>
          <w:sz w:val="20"/>
          <w:szCs w:val="20"/>
        </w:rPr>
        <w:t>rozvojovou plochu „R1“</w:t>
      </w:r>
      <w:r w:rsidR="004D2D38">
        <w:rPr>
          <w:rFonts w:asciiTheme="minorHAnsi" w:hAnsiTheme="minorHAnsi" w:cs="Arial"/>
          <w:bCs/>
          <w:sz w:val="20"/>
          <w:szCs w:val="20"/>
        </w:rPr>
        <w:t xml:space="preserve"> jihovýchodně od haly </w:t>
      </w:r>
      <w:proofErr w:type="spellStart"/>
      <w:r w:rsidR="004D2D38">
        <w:rPr>
          <w:rFonts w:asciiTheme="minorHAnsi" w:hAnsiTheme="minorHAnsi" w:cs="Arial"/>
          <w:bCs/>
          <w:sz w:val="20"/>
          <w:szCs w:val="20"/>
        </w:rPr>
        <w:t>Jobair</w:t>
      </w:r>
      <w:proofErr w:type="spellEnd"/>
      <w:r w:rsidR="00DF345C">
        <w:rPr>
          <w:rFonts w:asciiTheme="minorHAnsi" w:hAnsiTheme="minorHAnsi" w:cs="Arial"/>
          <w:bCs/>
          <w:sz w:val="20"/>
          <w:szCs w:val="20"/>
        </w:rPr>
        <w:t xml:space="preserve"> a </w:t>
      </w:r>
      <w:r w:rsidR="004D2D38">
        <w:rPr>
          <w:rFonts w:asciiTheme="minorHAnsi" w:hAnsiTheme="minorHAnsi" w:cs="Arial"/>
          <w:bCs/>
          <w:sz w:val="20"/>
          <w:szCs w:val="20"/>
        </w:rPr>
        <w:t xml:space="preserve">na ni navazující </w:t>
      </w:r>
      <w:r w:rsidR="00DF345C">
        <w:rPr>
          <w:rFonts w:asciiTheme="minorHAnsi" w:hAnsiTheme="minorHAnsi" w:cs="Arial"/>
          <w:bCs/>
          <w:sz w:val="20"/>
          <w:szCs w:val="20"/>
        </w:rPr>
        <w:t>„R2“ (</w:t>
      </w:r>
      <w:r w:rsidR="00B622FB">
        <w:rPr>
          <w:rFonts w:asciiTheme="minorHAnsi" w:hAnsiTheme="minorHAnsi" w:cs="Arial"/>
          <w:bCs/>
          <w:sz w:val="20"/>
          <w:szCs w:val="20"/>
        </w:rPr>
        <w:t>spravuje</w:t>
      </w:r>
      <w:r w:rsidR="00DF345C">
        <w:rPr>
          <w:rFonts w:asciiTheme="minorHAnsi" w:hAnsiTheme="minorHAnsi" w:cs="Arial"/>
          <w:bCs/>
          <w:sz w:val="20"/>
          <w:szCs w:val="20"/>
        </w:rPr>
        <w:t xml:space="preserve"> MSK) - viz příloha </w:t>
      </w:r>
      <w:r w:rsidR="0059334E">
        <w:rPr>
          <w:rFonts w:asciiTheme="minorHAnsi" w:hAnsiTheme="minorHAnsi" w:cs="Arial"/>
          <w:bCs/>
          <w:sz w:val="20"/>
          <w:szCs w:val="20"/>
        </w:rPr>
        <w:t xml:space="preserve">č. </w:t>
      </w:r>
      <w:r w:rsidR="001C2D6A">
        <w:rPr>
          <w:rFonts w:asciiTheme="minorHAnsi" w:hAnsiTheme="minorHAnsi" w:cs="Arial"/>
          <w:bCs/>
          <w:sz w:val="20"/>
          <w:szCs w:val="20"/>
        </w:rPr>
        <w:t>2</w:t>
      </w:r>
      <w:r w:rsidR="0059334E">
        <w:rPr>
          <w:rFonts w:asciiTheme="minorHAnsi" w:hAnsiTheme="minorHAnsi" w:cs="Arial"/>
          <w:bCs/>
          <w:sz w:val="20"/>
          <w:szCs w:val="20"/>
        </w:rPr>
        <w:t xml:space="preserve">. </w:t>
      </w:r>
    </w:p>
    <w:p w14:paraId="7FCBAAC1" w14:textId="434FCC76" w:rsidR="007D2C31" w:rsidRPr="00FF117C" w:rsidRDefault="001C2D6A" w:rsidP="003735D4">
      <w:pPr>
        <w:pStyle w:val="Odstavecseseznamem"/>
        <w:numPr>
          <w:ilvl w:val="0"/>
          <w:numId w:val="32"/>
        </w:numPr>
        <w:spacing w:after="120"/>
        <w:ind w:left="357" w:hanging="357"/>
        <w:jc w:val="both"/>
        <w:rPr>
          <w:rFonts w:asciiTheme="minorHAnsi" w:hAnsiTheme="minorHAnsi" w:cs="Arial"/>
          <w:bCs/>
          <w:sz w:val="20"/>
          <w:szCs w:val="20"/>
        </w:rPr>
      </w:pPr>
      <w:r>
        <w:rPr>
          <w:rFonts w:asciiTheme="minorHAnsi" w:hAnsiTheme="minorHAnsi" w:cs="Arial"/>
          <w:bCs/>
          <w:sz w:val="20"/>
          <w:szCs w:val="20"/>
        </w:rPr>
        <w:t>v 09/2020 byla zastupitelstvu města předložena krajem zadaná „Rozvojová studie rozšířeného zájmového území Mošnov“, na jejímž zpracování se město rovněž podílelo</w:t>
      </w:r>
      <w:r w:rsidR="00CC12B9">
        <w:rPr>
          <w:rFonts w:asciiTheme="minorHAnsi" w:hAnsiTheme="minorHAnsi" w:cs="Arial"/>
          <w:bCs/>
          <w:sz w:val="20"/>
          <w:szCs w:val="20"/>
        </w:rPr>
        <w:t xml:space="preserve">. </w:t>
      </w:r>
      <w:r>
        <w:rPr>
          <w:rFonts w:asciiTheme="minorHAnsi" w:hAnsiTheme="minorHAnsi" w:cs="Arial"/>
          <w:bCs/>
          <w:sz w:val="20"/>
          <w:szCs w:val="20"/>
        </w:rPr>
        <w:t xml:space="preserve">Tato studie je podkladem pro vzájemnou spolupráci a koordinaci projektových záměrů města a kraje v předmětném území. </w:t>
      </w:r>
    </w:p>
    <w:p w14:paraId="43629F1B" w14:textId="15AF0D2A" w:rsidR="007D2C31" w:rsidRPr="00FF117C" w:rsidRDefault="00FE33DD" w:rsidP="003735D4">
      <w:pPr>
        <w:pStyle w:val="Odstavecseseznamem"/>
        <w:numPr>
          <w:ilvl w:val="0"/>
          <w:numId w:val="32"/>
        </w:numPr>
        <w:spacing w:after="120"/>
        <w:ind w:left="357" w:hanging="357"/>
        <w:jc w:val="both"/>
        <w:rPr>
          <w:rFonts w:asciiTheme="minorHAnsi" w:hAnsiTheme="minorHAnsi" w:cs="Arial"/>
          <w:bCs/>
          <w:sz w:val="20"/>
          <w:szCs w:val="20"/>
        </w:rPr>
      </w:pPr>
      <w:r>
        <w:rPr>
          <w:rFonts w:asciiTheme="minorHAnsi" w:hAnsiTheme="minorHAnsi" w:cs="Arial"/>
          <w:bCs/>
          <w:sz w:val="20"/>
          <w:szCs w:val="20"/>
        </w:rPr>
        <w:t xml:space="preserve">předmětem řešení studie bylo silniční a železniční dopravní napojení území, technická infrastruktura, ideové urbanisticko-architektonické řešení rozvojových a </w:t>
      </w:r>
      <w:proofErr w:type="spellStart"/>
      <w:r>
        <w:rPr>
          <w:rFonts w:asciiTheme="minorHAnsi" w:hAnsiTheme="minorHAnsi" w:cs="Arial"/>
          <w:bCs/>
          <w:sz w:val="20"/>
          <w:szCs w:val="20"/>
        </w:rPr>
        <w:t>přestavbových</w:t>
      </w:r>
      <w:proofErr w:type="spellEnd"/>
      <w:r>
        <w:rPr>
          <w:rFonts w:asciiTheme="minorHAnsi" w:hAnsiTheme="minorHAnsi" w:cs="Arial"/>
          <w:bCs/>
          <w:sz w:val="20"/>
          <w:szCs w:val="20"/>
        </w:rPr>
        <w:t xml:space="preserve"> ploch, odhad stavebních nákladů a harmonogram přípravy a realizace. Cílem bylo zajištění podkladů pro koncepční rozhodování města a kraje o dalším využití území. </w:t>
      </w:r>
      <w:r w:rsidR="006C4620">
        <w:rPr>
          <w:rFonts w:asciiTheme="minorHAnsi" w:hAnsiTheme="minorHAnsi" w:cs="Arial"/>
          <w:bCs/>
          <w:sz w:val="20"/>
          <w:szCs w:val="20"/>
        </w:rPr>
        <w:t xml:space="preserve"> </w:t>
      </w:r>
    </w:p>
    <w:p w14:paraId="397EA55A" w14:textId="323892A5" w:rsidR="00A70849" w:rsidRPr="006272BF" w:rsidRDefault="00FE33DD" w:rsidP="0039559C">
      <w:pPr>
        <w:pStyle w:val="Odstavecseseznamem"/>
        <w:numPr>
          <w:ilvl w:val="0"/>
          <w:numId w:val="32"/>
        </w:numPr>
        <w:spacing w:before="120" w:after="120"/>
        <w:ind w:left="357" w:hanging="357"/>
        <w:jc w:val="both"/>
        <w:rPr>
          <w:rFonts w:asciiTheme="minorHAnsi" w:hAnsiTheme="minorHAnsi" w:cs="Arial"/>
          <w:bCs/>
          <w:sz w:val="20"/>
          <w:szCs w:val="20"/>
        </w:rPr>
      </w:pPr>
      <w:r>
        <w:rPr>
          <w:rFonts w:asciiTheme="minorHAnsi" w:hAnsiTheme="minorHAnsi" w:cs="Arial"/>
          <w:bCs/>
          <w:sz w:val="20"/>
          <w:szCs w:val="20"/>
        </w:rPr>
        <w:t xml:space="preserve">principy a zásady spolupráce v území stanoví nově uzavřené „Memorandum o vzájemné spolupráci a koordinaci </w:t>
      </w:r>
      <w:r w:rsidR="0060068A">
        <w:rPr>
          <w:rFonts w:asciiTheme="minorHAnsi" w:hAnsiTheme="minorHAnsi" w:cs="Arial"/>
          <w:bCs/>
          <w:sz w:val="20"/>
          <w:szCs w:val="20"/>
        </w:rPr>
        <w:br/>
      </w:r>
      <w:r>
        <w:rPr>
          <w:rFonts w:asciiTheme="minorHAnsi" w:hAnsiTheme="minorHAnsi" w:cs="Arial"/>
          <w:bCs/>
          <w:sz w:val="20"/>
          <w:szCs w:val="20"/>
        </w:rPr>
        <w:t>při přípravě a realizac</w:t>
      </w:r>
      <w:r w:rsidR="0060068A">
        <w:rPr>
          <w:rFonts w:asciiTheme="minorHAnsi" w:hAnsiTheme="minorHAnsi" w:cs="Arial"/>
          <w:bCs/>
          <w:sz w:val="20"/>
          <w:szCs w:val="20"/>
        </w:rPr>
        <w:t>i</w:t>
      </w:r>
      <w:r>
        <w:rPr>
          <w:rFonts w:asciiTheme="minorHAnsi" w:hAnsiTheme="minorHAnsi" w:cs="Arial"/>
          <w:bCs/>
          <w:sz w:val="20"/>
          <w:szCs w:val="20"/>
        </w:rPr>
        <w:t xml:space="preserve"> projektů v rozšířeném zájmovém území Mošnov“ uzavřené mezi krajem a městem v 10/2020, které nahradilo původní již neaktuální memorandum z r. 2008. </w:t>
      </w:r>
      <w:r w:rsidR="007A1D3F">
        <w:rPr>
          <w:rFonts w:asciiTheme="minorHAnsi" w:hAnsiTheme="minorHAnsi" w:cs="Arial"/>
          <w:bCs/>
          <w:sz w:val="20"/>
          <w:szCs w:val="20"/>
        </w:rPr>
        <w:t xml:space="preserve">Memorandum bylo ZM schváleno v 09/2020. </w:t>
      </w:r>
    </w:p>
    <w:p w14:paraId="4A9A3FAB" w14:textId="77777777" w:rsidR="004C6264" w:rsidRDefault="004C6264" w:rsidP="00BB2BD6">
      <w:pPr>
        <w:spacing w:after="120"/>
        <w:jc w:val="both"/>
        <w:rPr>
          <w:rFonts w:asciiTheme="minorHAnsi" w:hAnsiTheme="minorHAnsi" w:cs="Arial"/>
          <w:b/>
          <w:sz w:val="22"/>
          <w:szCs w:val="22"/>
        </w:rPr>
      </w:pPr>
    </w:p>
    <w:p w14:paraId="1A895206" w14:textId="77777777" w:rsidR="000C5B0C" w:rsidRDefault="00BB2BD6" w:rsidP="00BB2BD6">
      <w:pPr>
        <w:spacing w:after="120"/>
        <w:jc w:val="both"/>
        <w:rPr>
          <w:rFonts w:asciiTheme="minorHAnsi" w:hAnsiTheme="minorHAnsi" w:cs="Arial"/>
          <w:b/>
          <w:sz w:val="22"/>
          <w:szCs w:val="22"/>
        </w:rPr>
      </w:pPr>
      <w:r w:rsidRPr="007E3FCA">
        <w:rPr>
          <w:rFonts w:asciiTheme="minorHAnsi" w:hAnsiTheme="minorHAnsi" w:cs="Arial"/>
          <w:b/>
          <w:sz w:val="22"/>
          <w:szCs w:val="22"/>
        </w:rPr>
        <w:t>Rozšíření technické infrastruktury</w:t>
      </w:r>
      <w:r w:rsidR="00345E13">
        <w:rPr>
          <w:rFonts w:asciiTheme="minorHAnsi" w:hAnsiTheme="minorHAnsi" w:cs="Arial"/>
          <w:b/>
          <w:sz w:val="22"/>
          <w:szCs w:val="22"/>
        </w:rPr>
        <w:t xml:space="preserve"> </w:t>
      </w:r>
      <w:r w:rsidR="00C97477">
        <w:rPr>
          <w:rFonts w:asciiTheme="minorHAnsi" w:hAnsiTheme="minorHAnsi" w:cs="Arial"/>
          <w:b/>
          <w:sz w:val="22"/>
          <w:szCs w:val="22"/>
        </w:rPr>
        <w:t>(přidružená infrastruktura)</w:t>
      </w:r>
    </w:p>
    <w:p w14:paraId="5987C10D" w14:textId="77777777" w:rsidR="006B165B" w:rsidRDefault="006B165B" w:rsidP="00BB2BD6">
      <w:pPr>
        <w:spacing w:after="120"/>
        <w:jc w:val="both"/>
        <w:rPr>
          <w:rFonts w:asciiTheme="minorHAnsi" w:hAnsiTheme="minorHAnsi" w:cs="Arial"/>
          <w:b/>
          <w:sz w:val="22"/>
          <w:szCs w:val="22"/>
        </w:rPr>
      </w:pPr>
    </w:p>
    <w:p w14:paraId="5AB1C3FC" w14:textId="77777777" w:rsidR="000F5E5D" w:rsidRPr="000F5E5D" w:rsidRDefault="000F5E5D" w:rsidP="000F5E5D">
      <w:pPr>
        <w:pStyle w:val="Odstavecseseznamem"/>
        <w:numPr>
          <w:ilvl w:val="0"/>
          <w:numId w:val="3"/>
        </w:numPr>
        <w:spacing w:after="120"/>
        <w:ind w:left="284" w:hanging="284"/>
        <w:jc w:val="both"/>
        <w:rPr>
          <w:rFonts w:asciiTheme="minorHAnsi" w:hAnsiTheme="minorHAnsi" w:cs="Arial"/>
          <w:b/>
          <w:sz w:val="20"/>
          <w:szCs w:val="20"/>
        </w:rPr>
      </w:pPr>
      <w:r w:rsidRPr="000F5E5D">
        <w:rPr>
          <w:rFonts w:asciiTheme="minorHAnsi" w:hAnsiTheme="minorHAnsi" w:cs="Arial"/>
          <w:b/>
          <w:sz w:val="20"/>
          <w:szCs w:val="20"/>
        </w:rPr>
        <w:t>projekty k posílení kapacity zdrojů průmyslové zóny</w:t>
      </w:r>
    </w:p>
    <w:p w14:paraId="70B87ECC" w14:textId="77777777" w:rsidR="00BB2BD6" w:rsidRPr="003828A5" w:rsidRDefault="0094145C" w:rsidP="003828A5">
      <w:pPr>
        <w:pStyle w:val="Odstavecseseznamem"/>
        <w:numPr>
          <w:ilvl w:val="0"/>
          <w:numId w:val="36"/>
        </w:numPr>
        <w:spacing w:after="120"/>
        <w:ind w:left="284" w:hanging="284"/>
        <w:jc w:val="both"/>
        <w:rPr>
          <w:rFonts w:asciiTheme="minorHAnsi" w:hAnsiTheme="minorHAnsi" w:cs="Arial"/>
          <w:sz w:val="20"/>
          <w:szCs w:val="20"/>
        </w:rPr>
      </w:pPr>
      <w:r w:rsidRPr="003828A5">
        <w:rPr>
          <w:rFonts w:asciiTheme="minorHAnsi" w:hAnsiTheme="minorHAnsi" w:cs="Arial"/>
          <w:sz w:val="20"/>
          <w:szCs w:val="20"/>
        </w:rPr>
        <w:t xml:space="preserve">Po předchozím posílení kapacity vody, elektřiny a plynu v lokalitě SPZ Ostrava-Mošnov (r. 2018) </w:t>
      </w:r>
      <w:r w:rsidR="00794D91" w:rsidRPr="003828A5">
        <w:rPr>
          <w:rFonts w:asciiTheme="minorHAnsi" w:hAnsiTheme="minorHAnsi" w:cs="Arial"/>
          <w:sz w:val="20"/>
          <w:szCs w:val="20"/>
        </w:rPr>
        <w:t xml:space="preserve">ve sledovaném období beze změn. </w:t>
      </w:r>
    </w:p>
    <w:p w14:paraId="70E559A8" w14:textId="77777777" w:rsidR="00DB4D6A" w:rsidRPr="00FD75EF" w:rsidRDefault="00EC01B7" w:rsidP="008A42ED">
      <w:pPr>
        <w:pStyle w:val="Odstavecseseznamem"/>
        <w:numPr>
          <w:ilvl w:val="0"/>
          <w:numId w:val="5"/>
        </w:numPr>
        <w:spacing w:after="120"/>
        <w:ind w:left="284" w:hanging="284"/>
        <w:jc w:val="both"/>
        <w:rPr>
          <w:rFonts w:asciiTheme="minorHAnsi" w:hAnsiTheme="minorHAnsi" w:cs="Arial"/>
          <w:b/>
          <w:sz w:val="20"/>
          <w:szCs w:val="20"/>
        </w:rPr>
      </w:pPr>
      <w:r>
        <w:rPr>
          <w:rFonts w:asciiTheme="minorHAnsi" w:hAnsiTheme="minorHAnsi" w:cs="Arial"/>
          <w:b/>
          <w:sz w:val="20"/>
          <w:szCs w:val="20"/>
        </w:rPr>
        <w:t>projekty pro připojení nových investorů</w:t>
      </w:r>
      <w:r w:rsidR="00FD75EF" w:rsidRPr="00FD75EF">
        <w:rPr>
          <w:rFonts w:asciiTheme="minorHAnsi" w:hAnsiTheme="minorHAnsi" w:cs="Arial"/>
          <w:b/>
          <w:sz w:val="20"/>
          <w:szCs w:val="20"/>
        </w:rPr>
        <w:t xml:space="preserve"> </w:t>
      </w:r>
    </w:p>
    <w:p w14:paraId="29AD847C" w14:textId="36CBE11F" w:rsidR="00DB4D6A" w:rsidRPr="00A23758" w:rsidRDefault="003828A5" w:rsidP="00405C9A">
      <w:pPr>
        <w:pStyle w:val="Odstavecseseznamem"/>
        <w:numPr>
          <w:ilvl w:val="1"/>
          <w:numId w:val="6"/>
        </w:numPr>
        <w:spacing w:after="120"/>
        <w:ind w:left="284" w:hanging="284"/>
        <w:jc w:val="both"/>
        <w:rPr>
          <w:rFonts w:asciiTheme="minorHAnsi" w:hAnsiTheme="minorHAnsi" w:cs="Arial"/>
          <w:color w:val="C00000"/>
          <w:sz w:val="20"/>
          <w:szCs w:val="20"/>
        </w:rPr>
      </w:pPr>
      <w:r>
        <w:rPr>
          <w:rFonts w:asciiTheme="minorHAnsi" w:hAnsiTheme="minorHAnsi" w:cs="Arial"/>
          <w:sz w:val="20"/>
          <w:szCs w:val="20"/>
        </w:rPr>
        <w:t>V průběhu II. pololetí r. 2020 byla realizována nová větev STL plynovodu (GASCONTROL) pro připojení ploch G1 a G2 zóny. Výstavbou plynovodu bylo umožněno napojení nového výrobního závodu společnosti XZB (</w:t>
      </w:r>
      <w:proofErr w:type="spellStart"/>
      <w:r>
        <w:rPr>
          <w:rFonts w:asciiTheme="minorHAnsi" w:hAnsiTheme="minorHAnsi" w:cs="Arial"/>
          <w:sz w:val="20"/>
          <w:szCs w:val="20"/>
        </w:rPr>
        <w:t>Europe</w:t>
      </w:r>
      <w:proofErr w:type="spellEnd"/>
      <w:r>
        <w:rPr>
          <w:rFonts w:asciiTheme="minorHAnsi" w:hAnsiTheme="minorHAnsi" w:cs="Arial"/>
          <w:sz w:val="20"/>
          <w:szCs w:val="20"/>
        </w:rPr>
        <w:t xml:space="preserve">) s. r. o. Provozovatelem sítě je společnost </w:t>
      </w:r>
      <w:proofErr w:type="spellStart"/>
      <w:r>
        <w:rPr>
          <w:rFonts w:asciiTheme="minorHAnsi" w:hAnsiTheme="minorHAnsi" w:cs="Arial"/>
          <w:sz w:val="20"/>
          <w:szCs w:val="20"/>
        </w:rPr>
        <w:t>GasNet</w:t>
      </w:r>
      <w:proofErr w:type="spellEnd"/>
      <w:r>
        <w:rPr>
          <w:rFonts w:asciiTheme="minorHAnsi" w:hAnsiTheme="minorHAnsi" w:cs="Arial"/>
          <w:sz w:val="20"/>
          <w:szCs w:val="20"/>
        </w:rPr>
        <w:t xml:space="preserve">. </w:t>
      </w:r>
    </w:p>
    <w:p w14:paraId="6B3D6292" w14:textId="77777777" w:rsidR="002F67AC" w:rsidRPr="002F67AC" w:rsidRDefault="002F67AC" w:rsidP="002F67AC">
      <w:pPr>
        <w:spacing w:after="120"/>
        <w:ind w:left="1"/>
        <w:jc w:val="both"/>
        <w:rPr>
          <w:rFonts w:asciiTheme="minorHAnsi" w:hAnsiTheme="minorHAnsi" w:cs="Arial"/>
          <w:sz w:val="20"/>
          <w:szCs w:val="20"/>
        </w:rPr>
      </w:pPr>
    </w:p>
    <w:p w14:paraId="2CFB76C0" w14:textId="214F6789" w:rsidR="002B4039" w:rsidRPr="002F67AC" w:rsidRDefault="00CB0932" w:rsidP="00CB0932">
      <w:pPr>
        <w:pStyle w:val="Zkladntext"/>
        <w:spacing w:after="120"/>
        <w:rPr>
          <w:rFonts w:asciiTheme="minorHAnsi" w:hAnsiTheme="minorHAnsi" w:cs="Arial"/>
          <w:b/>
          <w:sz w:val="22"/>
          <w:szCs w:val="22"/>
        </w:rPr>
      </w:pPr>
      <w:r>
        <w:rPr>
          <w:rFonts w:asciiTheme="minorHAnsi" w:hAnsiTheme="minorHAnsi" w:cs="Arial"/>
          <w:b/>
          <w:sz w:val="22"/>
          <w:szCs w:val="22"/>
        </w:rPr>
        <w:t>D</w:t>
      </w:r>
      <w:r w:rsidR="002B4039" w:rsidRPr="002F67AC">
        <w:rPr>
          <w:rFonts w:asciiTheme="minorHAnsi" w:hAnsiTheme="minorHAnsi" w:cs="Arial"/>
          <w:b/>
          <w:sz w:val="22"/>
          <w:szCs w:val="22"/>
        </w:rPr>
        <w:t xml:space="preserve">otační projekty v PZ Mošnov </w:t>
      </w:r>
    </w:p>
    <w:p w14:paraId="46075E92" w14:textId="77777777" w:rsidR="002B4039" w:rsidRPr="00F747C1" w:rsidRDefault="002B4039" w:rsidP="002B4039">
      <w:pPr>
        <w:pStyle w:val="Odstavecseseznamem"/>
        <w:rPr>
          <w:b/>
          <w:sz w:val="20"/>
          <w:szCs w:val="20"/>
        </w:rPr>
      </w:pPr>
    </w:p>
    <w:p w14:paraId="23C3D112" w14:textId="77777777" w:rsidR="008B1524" w:rsidRPr="008B1524" w:rsidRDefault="008B1524" w:rsidP="009A4D5F">
      <w:pPr>
        <w:pStyle w:val="Odstavecseseznamem"/>
        <w:numPr>
          <w:ilvl w:val="0"/>
          <w:numId w:val="28"/>
        </w:numPr>
        <w:spacing w:after="160" w:line="259" w:lineRule="auto"/>
        <w:ind w:left="709" w:hanging="709"/>
        <w:contextualSpacing/>
        <w:jc w:val="both"/>
        <w:rPr>
          <w:rFonts w:asciiTheme="minorHAnsi" w:eastAsia="Times New Roman" w:hAnsiTheme="minorHAnsi" w:cs="Arial"/>
          <w:b/>
          <w:sz w:val="20"/>
          <w:szCs w:val="20"/>
        </w:rPr>
      </w:pPr>
      <w:r w:rsidRPr="008B1524">
        <w:rPr>
          <w:rFonts w:asciiTheme="minorHAnsi" w:eastAsia="Times New Roman" w:hAnsiTheme="minorHAnsi" w:cs="Arial"/>
          <w:b/>
          <w:sz w:val="20"/>
          <w:szCs w:val="20"/>
        </w:rPr>
        <w:t xml:space="preserve">PZ Mošnov výkupy nemovitostí </w:t>
      </w:r>
      <w:r>
        <w:rPr>
          <w:rFonts w:asciiTheme="minorHAnsi" w:eastAsia="Times New Roman" w:hAnsiTheme="minorHAnsi" w:cs="Arial"/>
          <w:b/>
          <w:sz w:val="20"/>
          <w:szCs w:val="20"/>
        </w:rPr>
        <w:t xml:space="preserve">(součást SPZ Ostrava-Mošnov) - </w:t>
      </w:r>
      <w:r w:rsidRPr="00EF0C80">
        <w:rPr>
          <w:rFonts w:asciiTheme="minorHAnsi" w:eastAsia="Times New Roman" w:hAnsiTheme="minorHAnsi" w:cs="Arial"/>
          <w:bCs/>
          <w:sz w:val="20"/>
          <w:szCs w:val="20"/>
        </w:rPr>
        <w:t>projekt ukončen k 30. 6. 2016, probíhá udržitelnost do 12/2026</w:t>
      </w:r>
      <w:r>
        <w:rPr>
          <w:rFonts w:asciiTheme="minorHAnsi" w:eastAsia="Times New Roman" w:hAnsiTheme="minorHAnsi" w:cs="Arial"/>
          <w:bCs/>
          <w:sz w:val="20"/>
          <w:szCs w:val="20"/>
        </w:rPr>
        <w:t xml:space="preserve"> (celkový objem 139,9 mil. Kč, z toho dotace 129,1 mil. Kč) </w:t>
      </w:r>
    </w:p>
    <w:p w14:paraId="2A3864B3" w14:textId="77777777" w:rsidR="00995C69" w:rsidRPr="00EF0C80" w:rsidRDefault="00995C69" w:rsidP="009A4D5F">
      <w:pPr>
        <w:pStyle w:val="Odstavecseseznamem"/>
        <w:numPr>
          <w:ilvl w:val="0"/>
          <w:numId w:val="28"/>
        </w:numPr>
        <w:spacing w:after="160" w:line="259" w:lineRule="auto"/>
        <w:ind w:left="709" w:hanging="709"/>
        <w:contextualSpacing/>
        <w:jc w:val="both"/>
        <w:rPr>
          <w:rFonts w:asciiTheme="minorHAnsi" w:eastAsia="Times New Roman" w:hAnsiTheme="minorHAnsi" w:cs="Arial"/>
          <w:bCs/>
          <w:sz w:val="20"/>
          <w:szCs w:val="20"/>
        </w:rPr>
      </w:pPr>
      <w:r w:rsidRPr="003A0B35">
        <w:rPr>
          <w:rFonts w:asciiTheme="minorHAnsi" w:eastAsia="Times New Roman" w:hAnsiTheme="minorHAnsi" w:cs="Arial"/>
          <w:b/>
          <w:sz w:val="20"/>
          <w:szCs w:val="20"/>
        </w:rPr>
        <w:t>SPZ Ostrava - Mošnov - technická infrastruktura</w:t>
      </w:r>
      <w:r>
        <w:rPr>
          <w:rFonts w:asciiTheme="minorHAnsi" w:eastAsia="Times New Roman" w:hAnsiTheme="minorHAnsi" w:cs="Arial"/>
          <w:b/>
          <w:sz w:val="20"/>
          <w:szCs w:val="20"/>
        </w:rPr>
        <w:t xml:space="preserve"> </w:t>
      </w:r>
      <w:r w:rsidR="00A01087">
        <w:rPr>
          <w:rFonts w:asciiTheme="minorHAnsi" w:eastAsia="Times New Roman" w:hAnsiTheme="minorHAnsi" w:cs="Arial"/>
          <w:bCs/>
          <w:sz w:val="20"/>
          <w:szCs w:val="20"/>
        </w:rPr>
        <w:t>-</w:t>
      </w:r>
      <w:r w:rsidRPr="00EF0C80">
        <w:rPr>
          <w:rFonts w:asciiTheme="minorHAnsi" w:eastAsia="Times New Roman" w:hAnsiTheme="minorHAnsi" w:cs="Arial"/>
          <w:bCs/>
          <w:sz w:val="20"/>
          <w:szCs w:val="20"/>
        </w:rPr>
        <w:t xml:space="preserve"> projekt ukončen k 30. 6. 2016, probíhá udržitelnost </w:t>
      </w:r>
      <w:r w:rsidR="00476EB5">
        <w:rPr>
          <w:rFonts w:asciiTheme="minorHAnsi" w:eastAsia="Times New Roman" w:hAnsiTheme="minorHAnsi" w:cs="Arial"/>
          <w:bCs/>
          <w:sz w:val="20"/>
          <w:szCs w:val="20"/>
        </w:rPr>
        <w:br/>
      </w:r>
      <w:r w:rsidRPr="00EF0C80">
        <w:rPr>
          <w:rFonts w:asciiTheme="minorHAnsi" w:eastAsia="Times New Roman" w:hAnsiTheme="minorHAnsi" w:cs="Arial"/>
          <w:bCs/>
          <w:sz w:val="20"/>
          <w:szCs w:val="20"/>
        </w:rPr>
        <w:t>do 12/2026</w:t>
      </w:r>
      <w:r w:rsidR="00EF0C80" w:rsidRPr="00EF0C80">
        <w:rPr>
          <w:rFonts w:asciiTheme="minorHAnsi" w:eastAsia="Times New Roman" w:hAnsiTheme="minorHAnsi" w:cs="Arial"/>
          <w:bCs/>
          <w:sz w:val="20"/>
          <w:szCs w:val="20"/>
        </w:rPr>
        <w:t xml:space="preserve"> (celkový objem 914</w:t>
      </w:r>
      <w:r w:rsidR="008B1524">
        <w:rPr>
          <w:rFonts w:asciiTheme="minorHAnsi" w:eastAsia="Times New Roman" w:hAnsiTheme="minorHAnsi" w:cs="Arial"/>
          <w:bCs/>
          <w:sz w:val="20"/>
          <w:szCs w:val="20"/>
        </w:rPr>
        <w:t>,2</w:t>
      </w:r>
      <w:r w:rsidR="00EF0C80" w:rsidRPr="00EF0C80">
        <w:rPr>
          <w:rFonts w:asciiTheme="minorHAnsi" w:eastAsia="Times New Roman" w:hAnsiTheme="minorHAnsi" w:cs="Arial"/>
          <w:bCs/>
          <w:sz w:val="20"/>
          <w:szCs w:val="20"/>
        </w:rPr>
        <w:t xml:space="preserve"> mil. Kč, z toho dotace </w:t>
      </w:r>
      <w:r w:rsidR="008B1524">
        <w:rPr>
          <w:rFonts w:asciiTheme="minorHAnsi" w:eastAsia="Times New Roman" w:hAnsiTheme="minorHAnsi" w:cs="Arial"/>
          <w:bCs/>
          <w:sz w:val="20"/>
          <w:szCs w:val="20"/>
        </w:rPr>
        <w:t>657,9</w:t>
      </w:r>
      <w:r w:rsidR="00EF0C80" w:rsidRPr="00EF0C80">
        <w:rPr>
          <w:rFonts w:asciiTheme="minorHAnsi" w:eastAsia="Times New Roman" w:hAnsiTheme="minorHAnsi" w:cs="Arial"/>
          <w:bCs/>
          <w:sz w:val="20"/>
          <w:szCs w:val="20"/>
        </w:rPr>
        <w:t xml:space="preserve"> mil. Kč)</w:t>
      </w:r>
    </w:p>
    <w:p w14:paraId="507BF39A" w14:textId="71FD3C88" w:rsidR="002B4039" w:rsidRPr="002B4039" w:rsidRDefault="00EF0C80" w:rsidP="003A0B35">
      <w:pPr>
        <w:pStyle w:val="Odstavecseseznamem"/>
        <w:numPr>
          <w:ilvl w:val="0"/>
          <w:numId w:val="28"/>
        </w:numPr>
        <w:spacing w:after="160" w:line="259" w:lineRule="auto"/>
        <w:ind w:hanging="720"/>
        <w:contextualSpacing/>
        <w:jc w:val="both"/>
        <w:rPr>
          <w:rFonts w:asciiTheme="minorHAnsi" w:eastAsia="Times New Roman" w:hAnsiTheme="minorHAnsi" w:cs="Arial"/>
          <w:sz w:val="20"/>
          <w:szCs w:val="20"/>
        </w:rPr>
      </w:pPr>
      <w:r w:rsidRPr="003A0B35">
        <w:rPr>
          <w:rFonts w:asciiTheme="minorHAnsi" w:eastAsia="Times New Roman" w:hAnsiTheme="minorHAnsi" w:cs="Arial"/>
          <w:b/>
          <w:sz w:val="20"/>
          <w:szCs w:val="20"/>
        </w:rPr>
        <w:t>SPZ Ostrava - Mošnov - technická infrastruktura, I</w:t>
      </w:r>
      <w:r>
        <w:rPr>
          <w:rFonts w:asciiTheme="minorHAnsi" w:eastAsia="Times New Roman" w:hAnsiTheme="minorHAnsi" w:cs="Arial"/>
          <w:b/>
          <w:sz w:val="20"/>
          <w:szCs w:val="20"/>
        </w:rPr>
        <w:t>I</w:t>
      </w:r>
      <w:r w:rsidRPr="003A0B35">
        <w:rPr>
          <w:rFonts w:asciiTheme="minorHAnsi" w:eastAsia="Times New Roman" w:hAnsiTheme="minorHAnsi" w:cs="Arial"/>
          <w:b/>
          <w:sz w:val="20"/>
          <w:szCs w:val="20"/>
        </w:rPr>
        <w:t>. etapa</w:t>
      </w:r>
      <w:r>
        <w:rPr>
          <w:rFonts w:asciiTheme="minorHAnsi" w:eastAsia="Times New Roman" w:hAnsiTheme="minorHAnsi" w:cs="Arial"/>
          <w:b/>
          <w:sz w:val="20"/>
          <w:szCs w:val="20"/>
        </w:rPr>
        <w:t xml:space="preserve"> </w:t>
      </w:r>
      <w:r w:rsidR="00A01087">
        <w:rPr>
          <w:rFonts w:asciiTheme="minorHAnsi" w:eastAsia="Times New Roman" w:hAnsiTheme="minorHAnsi" w:cs="Arial"/>
          <w:bCs/>
          <w:sz w:val="20"/>
          <w:szCs w:val="20"/>
        </w:rPr>
        <w:t>-</w:t>
      </w:r>
      <w:r w:rsidRPr="00EF0C80">
        <w:rPr>
          <w:rFonts w:asciiTheme="minorHAnsi" w:eastAsia="Times New Roman" w:hAnsiTheme="minorHAnsi" w:cs="Arial"/>
          <w:bCs/>
          <w:sz w:val="20"/>
          <w:szCs w:val="20"/>
        </w:rPr>
        <w:t xml:space="preserve"> projekt ukončen k </w:t>
      </w:r>
      <w:r>
        <w:rPr>
          <w:rFonts w:asciiTheme="minorHAnsi" w:eastAsia="Times New Roman" w:hAnsiTheme="minorHAnsi" w:cs="Arial"/>
          <w:bCs/>
          <w:sz w:val="20"/>
          <w:szCs w:val="20"/>
        </w:rPr>
        <w:t>31</w:t>
      </w:r>
      <w:r w:rsidRPr="00EF0C80">
        <w:rPr>
          <w:rFonts w:asciiTheme="minorHAnsi" w:eastAsia="Times New Roman" w:hAnsiTheme="minorHAnsi" w:cs="Arial"/>
          <w:bCs/>
          <w:sz w:val="20"/>
          <w:szCs w:val="20"/>
        </w:rPr>
        <w:t xml:space="preserve">. </w:t>
      </w:r>
      <w:r>
        <w:rPr>
          <w:rFonts w:asciiTheme="minorHAnsi" w:eastAsia="Times New Roman" w:hAnsiTheme="minorHAnsi" w:cs="Arial"/>
          <w:bCs/>
          <w:sz w:val="20"/>
          <w:szCs w:val="20"/>
        </w:rPr>
        <w:t>12</w:t>
      </w:r>
      <w:r w:rsidRPr="00EF0C80">
        <w:rPr>
          <w:rFonts w:asciiTheme="minorHAnsi" w:eastAsia="Times New Roman" w:hAnsiTheme="minorHAnsi" w:cs="Arial"/>
          <w:bCs/>
          <w:sz w:val="20"/>
          <w:szCs w:val="20"/>
        </w:rPr>
        <w:t>. 201</w:t>
      </w:r>
      <w:r>
        <w:rPr>
          <w:rFonts w:asciiTheme="minorHAnsi" w:eastAsia="Times New Roman" w:hAnsiTheme="minorHAnsi" w:cs="Arial"/>
          <w:bCs/>
          <w:sz w:val="20"/>
          <w:szCs w:val="20"/>
        </w:rPr>
        <w:t>8</w:t>
      </w:r>
      <w:r w:rsidRPr="00EF0C80">
        <w:rPr>
          <w:rFonts w:asciiTheme="minorHAnsi" w:eastAsia="Times New Roman" w:hAnsiTheme="minorHAnsi" w:cs="Arial"/>
          <w:bCs/>
          <w:sz w:val="20"/>
          <w:szCs w:val="20"/>
        </w:rPr>
        <w:t xml:space="preserve">, probíhá udržitelnost do </w:t>
      </w:r>
      <w:r>
        <w:rPr>
          <w:rFonts w:asciiTheme="minorHAnsi" w:eastAsia="Times New Roman" w:hAnsiTheme="minorHAnsi" w:cs="Arial"/>
          <w:bCs/>
          <w:sz w:val="20"/>
          <w:szCs w:val="20"/>
        </w:rPr>
        <w:t>06</w:t>
      </w:r>
      <w:r w:rsidRPr="00EF0C80">
        <w:rPr>
          <w:rFonts w:asciiTheme="minorHAnsi" w:eastAsia="Times New Roman" w:hAnsiTheme="minorHAnsi" w:cs="Arial"/>
          <w:bCs/>
          <w:sz w:val="20"/>
          <w:szCs w:val="20"/>
        </w:rPr>
        <w:t>/20</w:t>
      </w:r>
      <w:r>
        <w:rPr>
          <w:rFonts w:asciiTheme="minorHAnsi" w:eastAsia="Times New Roman" w:hAnsiTheme="minorHAnsi" w:cs="Arial"/>
          <w:bCs/>
          <w:sz w:val="20"/>
          <w:szCs w:val="20"/>
        </w:rPr>
        <w:t>29</w:t>
      </w:r>
      <w:r w:rsidRPr="00EF0C80">
        <w:rPr>
          <w:rFonts w:asciiTheme="minorHAnsi" w:eastAsia="Times New Roman" w:hAnsiTheme="minorHAnsi" w:cs="Arial"/>
          <w:bCs/>
          <w:sz w:val="20"/>
          <w:szCs w:val="20"/>
        </w:rPr>
        <w:t xml:space="preserve"> (celkový objem </w:t>
      </w:r>
      <w:r>
        <w:rPr>
          <w:rFonts w:asciiTheme="minorHAnsi" w:eastAsia="Times New Roman" w:hAnsiTheme="minorHAnsi" w:cs="Arial"/>
          <w:bCs/>
          <w:sz w:val="20"/>
          <w:szCs w:val="20"/>
        </w:rPr>
        <w:t>56,5</w:t>
      </w:r>
      <w:r w:rsidRPr="00EF0C80">
        <w:rPr>
          <w:rFonts w:asciiTheme="minorHAnsi" w:eastAsia="Times New Roman" w:hAnsiTheme="minorHAnsi" w:cs="Arial"/>
          <w:bCs/>
          <w:sz w:val="20"/>
          <w:szCs w:val="20"/>
        </w:rPr>
        <w:t xml:space="preserve"> mil. Kč, z toho dotace </w:t>
      </w:r>
      <w:r>
        <w:rPr>
          <w:rFonts w:asciiTheme="minorHAnsi" w:eastAsia="Times New Roman" w:hAnsiTheme="minorHAnsi" w:cs="Arial"/>
          <w:bCs/>
          <w:sz w:val="20"/>
          <w:szCs w:val="20"/>
        </w:rPr>
        <w:t>36,3</w:t>
      </w:r>
      <w:r w:rsidRPr="00EF0C80">
        <w:rPr>
          <w:rFonts w:asciiTheme="minorHAnsi" w:eastAsia="Times New Roman" w:hAnsiTheme="minorHAnsi" w:cs="Arial"/>
          <w:bCs/>
          <w:sz w:val="20"/>
          <w:szCs w:val="20"/>
        </w:rPr>
        <w:t xml:space="preserve"> mil. Kč)</w:t>
      </w:r>
      <w:r w:rsidR="002B4039" w:rsidRPr="002B4039">
        <w:rPr>
          <w:rFonts w:asciiTheme="minorHAnsi" w:eastAsia="Times New Roman" w:hAnsiTheme="minorHAnsi" w:cs="Arial"/>
          <w:sz w:val="20"/>
          <w:szCs w:val="20"/>
        </w:rPr>
        <w:t xml:space="preserve"> </w:t>
      </w:r>
      <w:r w:rsidR="009A3B5F">
        <w:rPr>
          <w:rFonts w:asciiTheme="minorHAnsi" w:eastAsia="Times New Roman" w:hAnsiTheme="minorHAnsi" w:cs="Arial"/>
          <w:sz w:val="20"/>
          <w:szCs w:val="20"/>
        </w:rPr>
        <w:t xml:space="preserve">– v 08/2020 obdrželo město poskytovatelem dotace potvrzené Závěrečné vyhodnocení akce. </w:t>
      </w:r>
    </w:p>
    <w:p w14:paraId="3E3D4D36" w14:textId="77777777" w:rsidR="002B4039" w:rsidRPr="00F747C1" w:rsidRDefault="002B4039" w:rsidP="002B4039">
      <w:pPr>
        <w:ind w:left="708"/>
        <w:rPr>
          <w:sz w:val="20"/>
          <w:szCs w:val="20"/>
        </w:rPr>
      </w:pPr>
    </w:p>
    <w:p w14:paraId="50C7EA88" w14:textId="7552F992" w:rsidR="008857EB" w:rsidRDefault="002B4039" w:rsidP="008857EB">
      <w:pPr>
        <w:pStyle w:val="Odstavecseseznamem"/>
        <w:numPr>
          <w:ilvl w:val="0"/>
          <w:numId w:val="28"/>
        </w:numPr>
        <w:spacing w:after="160" w:line="259" w:lineRule="auto"/>
        <w:ind w:hanging="720"/>
        <w:contextualSpacing/>
        <w:jc w:val="both"/>
        <w:rPr>
          <w:rFonts w:asciiTheme="minorHAnsi" w:eastAsia="Times New Roman" w:hAnsiTheme="minorHAnsi" w:cs="Arial"/>
          <w:sz w:val="20"/>
          <w:szCs w:val="20"/>
        </w:rPr>
      </w:pPr>
      <w:r w:rsidRPr="003A0B35">
        <w:rPr>
          <w:rFonts w:asciiTheme="minorHAnsi" w:eastAsia="Times New Roman" w:hAnsiTheme="minorHAnsi" w:cs="Arial"/>
          <w:b/>
          <w:sz w:val="20"/>
          <w:szCs w:val="20"/>
        </w:rPr>
        <w:t>Demolice budov v obchodně-podnikatelském areálu Ostrava - Mošnov</w:t>
      </w:r>
      <w:r w:rsidRPr="002B4039">
        <w:rPr>
          <w:rFonts w:asciiTheme="minorHAnsi" w:eastAsia="Times New Roman" w:hAnsiTheme="minorHAnsi" w:cs="Arial"/>
          <w:sz w:val="20"/>
          <w:szCs w:val="20"/>
        </w:rPr>
        <w:t xml:space="preserve"> </w:t>
      </w:r>
      <w:r w:rsidR="00AC5998" w:rsidRPr="00AC5998">
        <w:rPr>
          <w:rFonts w:asciiTheme="minorHAnsi" w:eastAsia="Times New Roman" w:hAnsiTheme="minorHAnsi" w:cs="Arial"/>
          <w:b/>
          <w:bCs/>
          <w:sz w:val="20"/>
          <w:szCs w:val="20"/>
        </w:rPr>
        <w:t>(I. a II. etapa)</w:t>
      </w:r>
      <w:r w:rsidR="00AC5998">
        <w:rPr>
          <w:rFonts w:asciiTheme="minorHAnsi" w:eastAsia="Times New Roman" w:hAnsiTheme="minorHAnsi" w:cs="Arial"/>
          <w:sz w:val="20"/>
          <w:szCs w:val="20"/>
        </w:rPr>
        <w:t xml:space="preserve"> </w:t>
      </w:r>
      <w:r w:rsidR="003A0B35">
        <w:rPr>
          <w:rFonts w:asciiTheme="minorHAnsi" w:eastAsia="Times New Roman" w:hAnsiTheme="minorHAnsi" w:cs="Arial"/>
          <w:sz w:val="20"/>
          <w:szCs w:val="20"/>
        </w:rPr>
        <w:t>-</w:t>
      </w:r>
      <w:r w:rsidRPr="002B4039">
        <w:rPr>
          <w:rFonts w:asciiTheme="minorHAnsi" w:eastAsia="Times New Roman" w:hAnsiTheme="minorHAnsi" w:cs="Arial"/>
          <w:sz w:val="20"/>
          <w:szCs w:val="20"/>
        </w:rPr>
        <w:t xml:space="preserve"> projekt je východiskem vznikající koncepce budoucího využití obchodně-podnikatelského areálu</w:t>
      </w:r>
      <w:r w:rsidR="008857EB">
        <w:rPr>
          <w:rFonts w:asciiTheme="minorHAnsi" w:eastAsia="Times New Roman" w:hAnsiTheme="minorHAnsi" w:cs="Arial"/>
          <w:sz w:val="20"/>
          <w:szCs w:val="20"/>
        </w:rPr>
        <w:t xml:space="preserve"> v </w:t>
      </w:r>
      <w:proofErr w:type="spellStart"/>
      <w:r w:rsidR="008857EB">
        <w:rPr>
          <w:rFonts w:asciiTheme="minorHAnsi" w:eastAsia="Times New Roman" w:hAnsiTheme="minorHAnsi" w:cs="Arial"/>
          <w:sz w:val="20"/>
          <w:szCs w:val="20"/>
        </w:rPr>
        <w:t>předletištním</w:t>
      </w:r>
      <w:proofErr w:type="spellEnd"/>
      <w:r w:rsidR="008857EB">
        <w:rPr>
          <w:rFonts w:asciiTheme="minorHAnsi" w:eastAsia="Times New Roman" w:hAnsiTheme="minorHAnsi" w:cs="Arial"/>
          <w:sz w:val="20"/>
          <w:szCs w:val="20"/>
        </w:rPr>
        <w:t xml:space="preserve"> prostoru</w:t>
      </w:r>
      <w:r w:rsidRPr="002B4039">
        <w:rPr>
          <w:rFonts w:asciiTheme="minorHAnsi" w:eastAsia="Times New Roman" w:hAnsiTheme="minorHAnsi" w:cs="Arial"/>
          <w:sz w:val="20"/>
          <w:szCs w:val="20"/>
        </w:rPr>
        <w:t xml:space="preserve">, která směřuje k postupné estetizaci lokality v bezprostřední blízkosti letiště a vytvoření moderní komerční zóny </w:t>
      </w:r>
      <w:r w:rsidR="008857EB">
        <w:rPr>
          <w:rFonts w:asciiTheme="minorHAnsi" w:eastAsia="Times New Roman" w:hAnsiTheme="minorHAnsi" w:cs="Arial"/>
          <w:sz w:val="20"/>
          <w:szCs w:val="20"/>
        </w:rPr>
        <w:t xml:space="preserve">navazující na Letiště Leoše Janáčka Ostrava. </w:t>
      </w:r>
      <w:r w:rsidR="002B57AE">
        <w:rPr>
          <w:rFonts w:asciiTheme="minorHAnsi" w:eastAsia="Times New Roman" w:hAnsiTheme="minorHAnsi" w:cs="Arial"/>
          <w:sz w:val="20"/>
          <w:szCs w:val="20"/>
        </w:rPr>
        <w:t xml:space="preserve">Tato koncepce koresponduje s „Rozvojovou studií rozšířeného zájmového území Mošnov“ předloženou krajem. </w:t>
      </w:r>
      <w:r w:rsidR="002B57AE">
        <w:rPr>
          <w:rFonts w:asciiTheme="minorHAnsi" w:hAnsiTheme="minorHAnsi" w:cs="Arial"/>
          <w:sz w:val="20"/>
          <w:szCs w:val="20"/>
        </w:rPr>
        <w:t>Záměrem města je v případě obou projektů demolic využít spolufinancování v rámci dotačního programu</w:t>
      </w:r>
      <w:r w:rsidR="0051722A" w:rsidRPr="002B4039">
        <w:rPr>
          <w:rFonts w:asciiTheme="minorHAnsi" w:hAnsiTheme="minorHAnsi" w:cs="Arial"/>
          <w:sz w:val="20"/>
          <w:szCs w:val="20"/>
        </w:rPr>
        <w:t xml:space="preserve"> „Regenerace a podnikatelské využití brownfieldů“</w:t>
      </w:r>
      <w:r w:rsidR="0051722A">
        <w:rPr>
          <w:rFonts w:asciiTheme="minorHAnsi" w:hAnsiTheme="minorHAnsi" w:cs="Arial"/>
          <w:sz w:val="20"/>
          <w:szCs w:val="20"/>
        </w:rPr>
        <w:t xml:space="preserve">, </w:t>
      </w:r>
      <w:r w:rsidR="002B57AE">
        <w:rPr>
          <w:rFonts w:asciiTheme="minorHAnsi" w:hAnsiTheme="minorHAnsi" w:cs="Arial"/>
          <w:sz w:val="20"/>
          <w:szCs w:val="20"/>
        </w:rPr>
        <w:t xml:space="preserve">kde </w:t>
      </w:r>
      <w:r w:rsidR="0051722A">
        <w:rPr>
          <w:rFonts w:asciiTheme="minorHAnsi" w:hAnsiTheme="minorHAnsi" w:cs="Arial"/>
          <w:sz w:val="20"/>
          <w:szCs w:val="20"/>
        </w:rPr>
        <w:t>p</w:t>
      </w:r>
      <w:r w:rsidR="0051722A" w:rsidRPr="002B4039">
        <w:rPr>
          <w:rFonts w:asciiTheme="minorHAnsi" w:hAnsiTheme="minorHAnsi" w:cs="Arial"/>
          <w:sz w:val="20"/>
          <w:szCs w:val="20"/>
        </w:rPr>
        <w:t>oskytnutá dotace může dosáhnout až 70</w:t>
      </w:r>
      <w:r w:rsidR="0051722A">
        <w:rPr>
          <w:rFonts w:asciiTheme="minorHAnsi" w:hAnsiTheme="minorHAnsi" w:cs="Arial"/>
          <w:sz w:val="20"/>
          <w:szCs w:val="20"/>
        </w:rPr>
        <w:t xml:space="preserve"> </w:t>
      </w:r>
      <w:r w:rsidR="0051722A" w:rsidRPr="002B4039">
        <w:rPr>
          <w:rFonts w:asciiTheme="minorHAnsi" w:hAnsiTheme="minorHAnsi" w:cs="Arial"/>
          <w:sz w:val="20"/>
          <w:szCs w:val="20"/>
        </w:rPr>
        <w:t>% způsobilých výdajů projektu</w:t>
      </w:r>
      <w:r w:rsidR="0051722A">
        <w:rPr>
          <w:rFonts w:asciiTheme="minorHAnsi" w:hAnsiTheme="minorHAnsi" w:cs="Arial"/>
          <w:sz w:val="20"/>
          <w:szCs w:val="20"/>
        </w:rPr>
        <w:t>.</w:t>
      </w:r>
    </w:p>
    <w:p w14:paraId="207D3C0C" w14:textId="77777777" w:rsidR="008857EB" w:rsidRPr="008857EB" w:rsidRDefault="008857EB" w:rsidP="008857EB">
      <w:pPr>
        <w:pStyle w:val="Odstavecseseznamem"/>
        <w:rPr>
          <w:rFonts w:asciiTheme="minorHAnsi" w:eastAsia="Times New Roman" w:hAnsiTheme="minorHAnsi" w:cs="Arial"/>
          <w:sz w:val="20"/>
          <w:szCs w:val="20"/>
        </w:rPr>
      </w:pPr>
    </w:p>
    <w:p w14:paraId="7F756DA0" w14:textId="3F473085" w:rsidR="008857EB" w:rsidRPr="00060B57" w:rsidRDefault="00060B57" w:rsidP="0082430E">
      <w:pPr>
        <w:pStyle w:val="Odstavecseseznamem"/>
        <w:numPr>
          <w:ilvl w:val="0"/>
          <w:numId w:val="34"/>
        </w:numPr>
        <w:spacing w:after="120" w:line="259" w:lineRule="auto"/>
        <w:ind w:left="714" w:hanging="357"/>
        <w:jc w:val="both"/>
        <w:rPr>
          <w:rFonts w:asciiTheme="minorHAnsi" w:hAnsiTheme="minorHAnsi" w:cs="Arial"/>
          <w:sz w:val="20"/>
          <w:szCs w:val="20"/>
        </w:rPr>
      </w:pPr>
      <w:r w:rsidRPr="00060B57">
        <w:rPr>
          <w:rFonts w:asciiTheme="minorHAnsi" w:hAnsiTheme="minorHAnsi" w:cs="Arial"/>
          <w:b/>
          <w:bCs/>
          <w:sz w:val="20"/>
          <w:szCs w:val="20"/>
        </w:rPr>
        <w:t xml:space="preserve">I. </w:t>
      </w:r>
      <w:r w:rsidR="008857EB" w:rsidRPr="00060B57">
        <w:rPr>
          <w:rFonts w:asciiTheme="minorHAnsi" w:hAnsiTheme="minorHAnsi" w:cs="Arial"/>
          <w:b/>
          <w:bCs/>
          <w:sz w:val="20"/>
          <w:szCs w:val="20"/>
        </w:rPr>
        <w:t>etapa</w:t>
      </w:r>
      <w:r w:rsidR="008857EB" w:rsidRPr="00060B57">
        <w:rPr>
          <w:rFonts w:asciiTheme="minorHAnsi" w:hAnsiTheme="minorHAnsi" w:cs="Arial"/>
          <w:sz w:val="20"/>
          <w:szCs w:val="20"/>
        </w:rPr>
        <w:t xml:space="preserve"> - v rámci této etapy </w:t>
      </w:r>
      <w:r w:rsidR="008F5985">
        <w:rPr>
          <w:rFonts w:asciiTheme="minorHAnsi" w:hAnsiTheme="minorHAnsi" w:cs="Arial"/>
          <w:sz w:val="20"/>
          <w:szCs w:val="20"/>
        </w:rPr>
        <w:t xml:space="preserve">byla v měsíci 08/2020 dokončena </w:t>
      </w:r>
      <w:r w:rsidR="008857EB" w:rsidRPr="00060B57">
        <w:rPr>
          <w:rFonts w:asciiTheme="minorHAnsi" w:hAnsiTheme="minorHAnsi" w:cs="Arial"/>
          <w:sz w:val="20"/>
          <w:szCs w:val="20"/>
        </w:rPr>
        <w:t>demolice tří chátrajících a stavebně nevyhovujících objektů v</w:t>
      </w:r>
      <w:r w:rsidR="008F5985">
        <w:rPr>
          <w:rFonts w:asciiTheme="minorHAnsi" w:hAnsiTheme="minorHAnsi" w:cs="Arial"/>
          <w:sz w:val="20"/>
          <w:szCs w:val="20"/>
        </w:rPr>
        <w:t xml:space="preserve"> obchodně-podnikatelském </w:t>
      </w:r>
      <w:r w:rsidR="008857EB" w:rsidRPr="00060B57">
        <w:rPr>
          <w:rFonts w:asciiTheme="minorHAnsi" w:hAnsiTheme="minorHAnsi" w:cs="Arial"/>
          <w:sz w:val="20"/>
          <w:szCs w:val="20"/>
        </w:rPr>
        <w:t>areálu na ploše 5 744 m</w:t>
      </w:r>
      <w:r w:rsidR="008857EB" w:rsidRPr="00060B57">
        <w:rPr>
          <w:rFonts w:asciiTheme="minorHAnsi" w:hAnsiTheme="minorHAnsi" w:cs="Arial"/>
          <w:sz w:val="20"/>
          <w:szCs w:val="20"/>
          <w:vertAlign w:val="superscript"/>
        </w:rPr>
        <w:t>2</w:t>
      </w:r>
      <w:r w:rsidR="008F5985">
        <w:rPr>
          <w:rFonts w:asciiTheme="minorHAnsi" w:hAnsiTheme="minorHAnsi" w:cs="Arial"/>
          <w:sz w:val="20"/>
          <w:szCs w:val="20"/>
        </w:rPr>
        <w:t xml:space="preserve"> a následná regenerace plochy. Aktuálně je před podáním žádosti o dotaci, která byla vázána na </w:t>
      </w:r>
      <w:r w:rsidR="00176F77">
        <w:rPr>
          <w:rFonts w:asciiTheme="minorHAnsi" w:hAnsiTheme="minorHAnsi" w:cs="Arial"/>
          <w:sz w:val="20"/>
          <w:szCs w:val="20"/>
        </w:rPr>
        <w:t xml:space="preserve">vydání </w:t>
      </w:r>
      <w:r w:rsidR="008F5985">
        <w:rPr>
          <w:rFonts w:asciiTheme="minorHAnsi" w:hAnsiTheme="minorHAnsi" w:cs="Arial"/>
          <w:sz w:val="20"/>
          <w:szCs w:val="20"/>
        </w:rPr>
        <w:t>pravomocné</w:t>
      </w:r>
      <w:r w:rsidR="00176F77">
        <w:rPr>
          <w:rFonts w:asciiTheme="minorHAnsi" w:hAnsiTheme="minorHAnsi" w:cs="Arial"/>
          <w:sz w:val="20"/>
          <w:szCs w:val="20"/>
        </w:rPr>
        <w:t>ho</w:t>
      </w:r>
      <w:r w:rsidR="008F5985">
        <w:rPr>
          <w:rFonts w:asciiTheme="minorHAnsi" w:hAnsiTheme="minorHAnsi" w:cs="Arial"/>
          <w:sz w:val="20"/>
          <w:szCs w:val="20"/>
        </w:rPr>
        <w:t xml:space="preserve"> územní</w:t>
      </w:r>
      <w:r w:rsidR="00176F77">
        <w:rPr>
          <w:rFonts w:asciiTheme="minorHAnsi" w:hAnsiTheme="minorHAnsi" w:cs="Arial"/>
          <w:sz w:val="20"/>
          <w:szCs w:val="20"/>
        </w:rPr>
        <w:t>ho</w:t>
      </w:r>
      <w:r w:rsidR="008F5985">
        <w:rPr>
          <w:rFonts w:asciiTheme="minorHAnsi" w:hAnsiTheme="minorHAnsi" w:cs="Arial"/>
          <w:sz w:val="20"/>
          <w:szCs w:val="20"/>
        </w:rPr>
        <w:t xml:space="preserve"> rozhodnutí pro přeložku STL plynovodu zahrnutou ve II. etapě projektu demolic. </w:t>
      </w:r>
      <w:r w:rsidR="008857EB" w:rsidRPr="00060B57">
        <w:rPr>
          <w:rFonts w:asciiTheme="minorHAnsi" w:hAnsiTheme="minorHAnsi" w:cs="Arial"/>
          <w:sz w:val="20"/>
          <w:szCs w:val="20"/>
        </w:rPr>
        <w:t xml:space="preserve"> </w:t>
      </w:r>
      <w:r w:rsidR="008F5985">
        <w:rPr>
          <w:rFonts w:asciiTheme="minorHAnsi" w:hAnsiTheme="minorHAnsi" w:cs="Arial"/>
          <w:sz w:val="20"/>
          <w:szCs w:val="20"/>
        </w:rPr>
        <w:t>Po</w:t>
      </w:r>
      <w:r w:rsidR="008857EB" w:rsidRPr="00060B57">
        <w:rPr>
          <w:rFonts w:asciiTheme="minorHAnsi" w:hAnsiTheme="minorHAnsi" w:cs="Arial"/>
          <w:sz w:val="20"/>
          <w:szCs w:val="20"/>
        </w:rPr>
        <w:t xml:space="preserve"> finančním ukončení projektu </w:t>
      </w:r>
      <w:r w:rsidR="008F5985">
        <w:rPr>
          <w:rFonts w:asciiTheme="minorHAnsi" w:hAnsiTheme="minorHAnsi" w:cs="Arial"/>
          <w:sz w:val="20"/>
          <w:szCs w:val="20"/>
        </w:rPr>
        <w:t xml:space="preserve">bude plocha </w:t>
      </w:r>
      <w:r w:rsidR="008857EB" w:rsidRPr="00060B57">
        <w:rPr>
          <w:rFonts w:asciiTheme="minorHAnsi" w:hAnsiTheme="minorHAnsi" w:cs="Arial"/>
          <w:sz w:val="20"/>
          <w:szCs w:val="20"/>
        </w:rPr>
        <w:t xml:space="preserve">nabízena </w:t>
      </w:r>
      <w:r w:rsidR="008F5985">
        <w:rPr>
          <w:rFonts w:asciiTheme="minorHAnsi" w:hAnsiTheme="minorHAnsi" w:cs="Arial"/>
          <w:sz w:val="20"/>
          <w:szCs w:val="20"/>
        </w:rPr>
        <w:t xml:space="preserve">v otevřeném řízení </w:t>
      </w:r>
      <w:r w:rsidR="008857EB" w:rsidRPr="00060B57">
        <w:rPr>
          <w:rFonts w:asciiTheme="minorHAnsi" w:hAnsiTheme="minorHAnsi" w:cs="Arial"/>
          <w:sz w:val="20"/>
          <w:szCs w:val="20"/>
        </w:rPr>
        <w:t xml:space="preserve">investorům pro realizaci podnikatelských záměrů v souladu s územním plánem a podmínkami dotace; </w:t>
      </w:r>
    </w:p>
    <w:p w14:paraId="56FB8816" w14:textId="27C67E89" w:rsidR="008857EB" w:rsidRPr="00060B57" w:rsidRDefault="00060B57" w:rsidP="00060B57">
      <w:pPr>
        <w:pStyle w:val="Odstavecseseznamem"/>
        <w:numPr>
          <w:ilvl w:val="0"/>
          <w:numId w:val="34"/>
        </w:numPr>
        <w:spacing w:after="160" w:line="259" w:lineRule="auto"/>
        <w:contextualSpacing/>
        <w:jc w:val="both"/>
        <w:rPr>
          <w:rFonts w:asciiTheme="minorHAnsi" w:hAnsiTheme="minorHAnsi" w:cs="Arial"/>
          <w:sz w:val="20"/>
          <w:szCs w:val="20"/>
        </w:rPr>
      </w:pPr>
      <w:r w:rsidRPr="00060B57">
        <w:rPr>
          <w:rFonts w:asciiTheme="minorHAnsi" w:hAnsiTheme="minorHAnsi" w:cs="Arial"/>
          <w:b/>
          <w:bCs/>
          <w:sz w:val="20"/>
          <w:szCs w:val="20"/>
        </w:rPr>
        <w:lastRenderedPageBreak/>
        <w:t xml:space="preserve">II. </w:t>
      </w:r>
      <w:r w:rsidR="008857EB" w:rsidRPr="00060B57">
        <w:rPr>
          <w:rFonts w:asciiTheme="minorHAnsi" w:hAnsiTheme="minorHAnsi" w:cs="Arial"/>
          <w:b/>
          <w:bCs/>
          <w:sz w:val="20"/>
          <w:szCs w:val="20"/>
        </w:rPr>
        <w:t>etapa</w:t>
      </w:r>
      <w:r w:rsidR="008857EB" w:rsidRPr="00060B57">
        <w:rPr>
          <w:rFonts w:asciiTheme="minorHAnsi" w:hAnsiTheme="minorHAnsi" w:cs="Arial"/>
          <w:sz w:val="20"/>
          <w:szCs w:val="20"/>
        </w:rPr>
        <w:t xml:space="preserve"> - navazuje na předchozí etapu demolic a zahrnuje demolici dalších čtyř objektů </w:t>
      </w:r>
      <w:r w:rsidR="005707F8" w:rsidRPr="00060B57">
        <w:rPr>
          <w:rFonts w:asciiTheme="minorHAnsi" w:hAnsiTheme="minorHAnsi" w:cs="Arial"/>
          <w:sz w:val="20"/>
          <w:szCs w:val="20"/>
        </w:rPr>
        <w:t xml:space="preserve">v přilehlé lokalitě </w:t>
      </w:r>
      <w:r w:rsidR="003B086D">
        <w:rPr>
          <w:rFonts w:asciiTheme="minorHAnsi" w:hAnsiTheme="minorHAnsi" w:cs="Arial"/>
          <w:sz w:val="20"/>
          <w:szCs w:val="20"/>
        </w:rPr>
        <w:br/>
      </w:r>
      <w:r w:rsidR="008857EB" w:rsidRPr="00060B57">
        <w:rPr>
          <w:rFonts w:asciiTheme="minorHAnsi" w:hAnsiTheme="minorHAnsi" w:cs="Arial"/>
          <w:sz w:val="20"/>
          <w:szCs w:val="20"/>
        </w:rPr>
        <w:t>na celkové ploše 8 029 m</w:t>
      </w:r>
      <w:r w:rsidR="008857EB" w:rsidRPr="00060B57">
        <w:rPr>
          <w:rFonts w:asciiTheme="minorHAnsi" w:hAnsiTheme="minorHAnsi" w:cs="Arial"/>
          <w:sz w:val="20"/>
          <w:szCs w:val="20"/>
          <w:vertAlign w:val="superscript"/>
        </w:rPr>
        <w:t>2</w:t>
      </w:r>
      <w:r w:rsidR="008857EB" w:rsidRPr="00060B57">
        <w:rPr>
          <w:rFonts w:asciiTheme="minorHAnsi" w:hAnsiTheme="minorHAnsi" w:cs="Arial"/>
          <w:sz w:val="20"/>
          <w:szCs w:val="20"/>
        </w:rPr>
        <w:t xml:space="preserve">. </w:t>
      </w:r>
      <w:r w:rsidR="0051722A" w:rsidRPr="00060B57">
        <w:rPr>
          <w:rFonts w:asciiTheme="minorHAnsi" w:hAnsiTheme="minorHAnsi" w:cs="Arial"/>
          <w:sz w:val="20"/>
          <w:szCs w:val="20"/>
        </w:rPr>
        <w:t>Součástí projektu je rovněž přeložka STL plynovodu ve vlastnictví letiště</w:t>
      </w:r>
      <w:r w:rsidR="005707F8" w:rsidRPr="00060B57">
        <w:rPr>
          <w:rFonts w:asciiTheme="minorHAnsi" w:hAnsiTheme="minorHAnsi" w:cs="Arial"/>
          <w:sz w:val="20"/>
          <w:szCs w:val="20"/>
        </w:rPr>
        <w:t xml:space="preserve">, která by v případě jejího ponechání ve stávající trase byla omezujícím faktorem budoucí výstavby nových nabyvatelů regenerovaných pozemků. </w:t>
      </w:r>
      <w:r w:rsidR="00E266A0">
        <w:rPr>
          <w:rFonts w:asciiTheme="minorHAnsi" w:hAnsiTheme="minorHAnsi" w:cs="Arial"/>
          <w:sz w:val="20"/>
          <w:szCs w:val="20"/>
        </w:rPr>
        <w:t xml:space="preserve">V 09/2020 byla městem podána žádost </w:t>
      </w:r>
      <w:r w:rsidR="008857EB" w:rsidRPr="00060B57">
        <w:rPr>
          <w:rFonts w:asciiTheme="minorHAnsi" w:hAnsiTheme="minorHAnsi" w:cs="Arial"/>
          <w:sz w:val="20"/>
          <w:szCs w:val="20"/>
        </w:rPr>
        <w:t>o zařazení do dotačního programu v rámci I</w:t>
      </w:r>
      <w:r w:rsidR="00E266A0">
        <w:rPr>
          <w:rFonts w:asciiTheme="minorHAnsi" w:hAnsiTheme="minorHAnsi" w:cs="Arial"/>
          <w:sz w:val="20"/>
          <w:szCs w:val="20"/>
        </w:rPr>
        <w:t xml:space="preserve">V. výzvy, z důvodu vyčerpání alokovaných finančních prostředků projekt nebyl zařazen a po dohodě se zástupci MPO bude žádáno o zařazení opakovaně v rámci nově vyhlašované V. výzvy Programu. </w:t>
      </w:r>
    </w:p>
    <w:p w14:paraId="0AA0A2AA" w14:textId="2CBB41B4" w:rsidR="001F6982" w:rsidRDefault="006D214C" w:rsidP="006D214C">
      <w:pPr>
        <w:ind w:left="708"/>
        <w:jc w:val="both"/>
        <w:rPr>
          <w:rFonts w:asciiTheme="minorHAnsi" w:hAnsiTheme="minorHAnsi" w:cs="Arial"/>
          <w:sz w:val="20"/>
          <w:szCs w:val="20"/>
        </w:rPr>
      </w:pPr>
      <w:r>
        <w:rPr>
          <w:rFonts w:asciiTheme="minorHAnsi" w:hAnsiTheme="minorHAnsi" w:cs="Arial"/>
          <w:sz w:val="20"/>
          <w:szCs w:val="20"/>
        </w:rPr>
        <w:t xml:space="preserve">Celkové </w:t>
      </w:r>
      <w:r w:rsidR="001F6982">
        <w:rPr>
          <w:rFonts w:asciiTheme="minorHAnsi" w:hAnsiTheme="minorHAnsi" w:cs="Arial"/>
          <w:sz w:val="20"/>
          <w:szCs w:val="20"/>
        </w:rPr>
        <w:t xml:space="preserve">výdaje I. etapy demolic činí </w:t>
      </w:r>
      <w:r>
        <w:rPr>
          <w:rFonts w:asciiTheme="minorHAnsi" w:hAnsiTheme="minorHAnsi" w:cs="Arial"/>
          <w:sz w:val="20"/>
          <w:szCs w:val="20"/>
        </w:rPr>
        <w:t>cca 2,78</w:t>
      </w:r>
      <w:r w:rsidR="001F6982">
        <w:rPr>
          <w:rFonts w:asciiTheme="minorHAnsi" w:hAnsiTheme="minorHAnsi" w:cs="Arial"/>
          <w:sz w:val="20"/>
          <w:szCs w:val="20"/>
        </w:rPr>
        <w:t xml:space="preserve"> mil. Kč</w:t>
      </w:r>
      <w:r w:rsidR="005707F8">
        <w:rPr>
          <w:rFonts w:asciiTheme="minorHAnsi" w:hAnsiTheme="minorHAnsi" w:cs="Arial"/>
          <w:sz w:val="20"/>
          <w:szCs w:val="20"/>
        </w:rPr>
        <w:t>,</w:t>
      </w:r>
      <w:r w:rsidR="001F6982">
        <w:rPr>
          <w:rFonts w:asciiTheme="minorHAnsi" w:hAnsiTheme="minorHAnsi" w:cs="Arial"/>
          <w:sz w:val="20"/>
          <w:szCs w:val="20"/>
        </w:rPr>
        <w:t xml:space="preserve"> </w:t>
      </w:r>
      <w:r>
        <w:rPr>
          <w:rFonts w:asciiTheme="minorHAnsi" w:hAnsiTheme="minorHAnsi" w:cs="Arial"/>
          <w:sz w:val="20"/>
          <w:szCs w:val="20"/>
        </w:rPr>
        <w:t xml:space="preserve">pro II. etapu je předpoklad celkových výdajů ve výši </w:t>
      </w:r>
      <w:r>
        <w:rPr>
          <w:rFonts w:asciiTheme="minorHAnsi" w:hAnsiTheme="minorHAnsi" w:cs="Arial"/>
          <w:sz w:val="20"/>
          <w:szCs w:val="20"/>
        </w:rPr>
        <w:br/>
        <w:t>12,89 mil. Kč</w:t>
      </w:r>
      <w:r w:rsidR="001F6982">
        <w:rPr>
          <w:rFonts w:asciiTheme="minorHAnsi" w:hAnsiTheme="minorHAnsi" w:cs="Arial"/>
          <w:sz w:val="20"/>
          <w:szCs w:val="20"/>
        </w:rPr>
        <w:t xml:space="preserve"> (bez DPH). </w:t>
      </w:r>
      <w:r w:rsidR="00C648A5">
        <w:rPr>
          <w:rFonts w:asciiTheme="minorHAnsi" w:hAnsiTheme="minorHAnsi" w:cs="Arial"/>
          <w:sz w:val="20"/>
          <w:szCs w:val="20"/>
        </w:rPr>
        <w:t xml:space="preserve"> </w:t>
      </w:r>
    </w:p>
    <w:p w14:paraId="4F8D1219" w14:textId="77777777" w:rsidR="000E2FAA" w:rsidRDefault="000E2FAA" w:rsidP="007F178A">
      <w:pPr>
        <w:ind w:left="708"/>
        <w:jc w:val="both"/>
        <w:rPr>
          <w:rFonts w:asciiTheme="minorHAnsi" w:hAnsiTheme="minorHAnsi" w:cs="Arial"/>
          <w:sz w:val="20"/>
          <w:szCs w:val="20"/>
        </w:rPr>
      </w:pPr>
    </w:p>
    <w:p w14:paraId="71FC27B7" w14:textId="77777777" w:rsidR="000E2FAA" w:rsidRDefault="000E2FAA" w:rsidP="007F178A">
      <w:pPr>
        <w:ind w:left="708"/>
        <w:jc w:val="both"/>
        <w:rPr>
          <w:rFonts w:asciiTheme="minorHAnsi" w:hAnsiTheme="minorHAnsi" w:cs="Arial"/>
          <w:b/>
          <w:sz w:val="20"/>
          <w:szCs w:val="20"/>
        </w:rPr>
      </w:pPr>
      <w:r w:rsidRPr="000E2FAA">
        <w:rPr>
          <w:rFonts w:asciiTheme="minorHAnsi" w:hAnsiTheme="minorHAnsi" w:cs="Arial"/>
          <w:b/>
          <w:sz w:val="20"/>
          <w:szCs w:val="20"/>
        </w:rPr>
        <w:t xml:space="preserve">Sumarizace celkových prodejů v zóně a podmínky dotace </w:t>
      </w:r>
      <w:r w:rsidR="0018594B">
        <w:rPr>
          <w:rFonts w:asciiTheme="minorHAnsi" w:hAnsiTheme="minorHAnsi" w:cs="Arial"/>
          <w:b/>
          <w:sz w:val="20"/>
          <w:szCs w:val="20"/>
        </w:rPr>
        <w:t>Programu na podporu podnikatelských nemovitostí a infrastruktury</w:t>
      </w:r>
    </w:p>
    <w:p w14:paraId="718C8120" w14:textId="77777777" w:rsidR="000E2FAA" w:rsidRDefault="000E2FAA" w:rsidP="007F178A">
      <w:pPr>
        <w:ind w:left="708"/>
        <w:jc w:val="both"/>
        <w:rPr>
          <w:rFonts w:asciiTheme="minorHAnsi" w:hAnsiTheme="minorHAnsi" w:cs="Arial"/>
          <w:b/>
          <w:sz w:val="20"/>
          <w:szCs w:val="20"/>
        </w:rPr>
      </w:pPr>
    </w:p>
    <w:p w14:paraId="3642AD53" w14:textId="334EBDD2" w:rsidR="000E2FAA" w:rsidRPr="00D84666" w:rsidRDefault="00D84666" w:rsidP="009552E7">
      <w:pPr>
        <w:pStyle w:val="Odstavecseseznamem"/>
        <w:numPr>
          <w:ilvl w:val="0"/>
          <w:numId w:val="2"/>
        </w:numPr>
        <w:spacing w:after="120"/>
        <w:ind w:left="709" w:hanging="1004"/>
        <w:jc w:val="both"/>
        <w:rPr>
          <w:rFonts w:asciiTheme="minorHAnsi" w:hAnsiTheme="minorHAnsi" w:cs="Arial"/>
          <w:sz w:val="20"/>
          <w:szCs w:val="20"/>
        </w:rPr>
      </w:pPr>
      <w:r w:rsidRPr="00D84666">
        <w:rPr>
          <w:rFonts w:asciiTheme="minorHAnsi" w:hAnsiTheme="minorHAnsi" w:cs="Arial"/>
          <w:sz w:val="20"/>
          <w:szCs w:val="20"/>
        </w:rPr>
        <w:t>p</w:t>
      </w:r>
      <w:r w:rsidR="000E2FAA" w:rsidRPr="00D84666">
        <w:rPr>
          <w:rFonts w:asciiTheme="minorHAnsi" w:hAnsiTheme="minorHAnsi" w:cs="Arial"/>
          <w:sz w:val="20"/>
          <w:szCs w:val="20"/>
        </w:rPr>
        <w:t xml:space="preserve">okud </w:t>
      </w:r>
      <w:r w:rsidRPr="00D84666">
        <w:rPr>
          <w:rFonts w:asciiTheme="minorHAnsi" w:hAnsiTheme="minorHAnsi" w:cs="Arial"/>
          <w:sz w:val="20"/>
          <w:szCs w:val="20"/>
        </w:rPr>
        <w:t xml:space="preserve">realizované </w:t>
      </w:r>
      <w:r w:rsidR="000E2FAA" w:rsidRPr="00D84666">
        <w:rPr>
          <w:rFonts w:asciiTheme="minorHAnsi" w:hAnsiTheme="minorHAnsi" w:cs="Arial"/>
          <w:sz w:val="20"/>
          <w:szCs w:val="20"/>
        </w:rPr>
        <w:t>příjmy z celkových prodejů</w:t>
      </w:r>
      <w:r w:rsidR="00C648A5">
        <w:rPr>
          <w:rFonts w:asciiTheme="minorHAnsi" w:hAnsiTheme="minorHAnsi" w:cs="Arial"/>
          <w:sz w:val="20"/>
          <w:szCs w:val="20"/>
        </w:rPr>
        <w:t>, pronájmů a služebností</w:t>
      </w:r>
      <w:r w:rsidR="000E2FAA" w:rsidRPr="00D84666">
        <w:rPr>
          <w:rFonts w:asciiTheme="minorHAnsi" w:hAnsiTheme="minorHAnsi" w:cs="Arial"/>
          <w:sz w:val="20"/>
          <w:szCs w:val="20"/>
        </w:rPr>
        <w:t xml:space="preserve"> </w:t>
      </w:r>
      <w:r w:rsidRPr="00D84666">
        <w:rPr>
          <w:rFonts w:asciiTheme="minorHAnsi" w:hAnsiTheme="minorHAnsi" w:cs="Arial"/>
          <w:sz w:val="20"/>
          <w:szCs w:val="20"/>
        </w:rPr>
        <w:t>v zóně dosáhnou míry spolufinancování města Ostravy</w:t>
      </w:r>
      <w:r w:rsidR="00C648A5">
        <w:rPr>
          <w:rFonts w:asciiTheme="minorHAnsi" w:hAnsiTheme="minorHAnsi" w:cs="Arial"/>
          <w:sz w:val="20"/>
          <w:szCs w:val="20"/>
        </w:rPr>
        <w:t xml:space="preserve"> při výstavbě obou etap</w:t>
      </w:r>
      <w:r w:rsidRPr="00D84666">
        <w:rPr>
          <w:rFonts w:asciiTheme="minorHAnsi" w:hAnsiTheme="minorHAnsi" w:cs="Arial"/>
          <w:sz w:val="20"/>
          <w:szCs w:val="20"/>
        </w:rPr>
        <w:t xml:space="preserve"> SPZ Ostrava </w:t>
      </w:r>
      <w:r>
        <w:rPr>
          <w:rFonts w:asciiTheme="minorHAnsi" w:hAnsiTheme="minorHAnsi" w:cs="Arial"/>
          <w:sz w:val="20"/>
          <w:szCs w:val="20"/>
        </w:rPr>
        <w:t>-</w:t>
      </w:r>
      <w:r w:rsidRPr="00D84666">
        <w:rPr>
          <w:rFonts w:asciiTheme="minorHAnsi" w:hAnsiTheme="minorHAnsi" w:cs="Arial"/>
          <w:sz w:val="20"/>
          <w:szCs w:val="20"/>
        </w:rPr>
        <w:t xml:space="preserve"> Mošnov (celkové náklady </w:t>
      </w:r>
      <w:r w:rsidR="00597FA0">
        <w:rPr>
          <w:rFonts w:asciiTheme="minorHAnsi" w:hAnsiTheme="minorHAnsi" w:cs="Arial"/>
          <w:sz w:val="20"/>
          <w:szCs w:val="20"/>
        </w:rPr>
        <w:t xml:space="preserve">pro obě etapy výstavby </w:t>
      </w:r>
      <w:r w:rsidR="009E30E3">
        <w:rPr>
          <w:rFonts w:asciiTheme="minorHAnsi" w:hAnsiTheme="minorHAnsi" w:cs="Arial"/>
          <w:sz w:val="20"/>
          <w:szCs w:val="20"/>
        </w:rPr>
        <w:br/>
      </w:r>
      <w:r w:rsidRPr="00D84666">
        <w:rPr>
          <w:rFonts w:asciiTheme="minorHAnsi" w:hAnsiTheme="minorHAnsi" w:cs="Arial"/>
          <w:sz w:val="20"/>
          <w:szCs w:val="20"/>
        </w:rPr>
        <w:t>1</w:t>
      </w:r>
      <w:r w:rsidR="00722661">
        <w:rPr>
          <w:rFonts w:asciiTheme="minorHAnsi" w:hAnsiTheme="minorHAnsi" w:cs="Arial"/>
          <w:sz w:val="20"/>
          <w:szCs w:val="20"/>
        </w:rPr>
        <w:t> 110,6</w:t>
      </w:r>
      <w:r w:rsidRPr="00D84666">
        <w:rPr>
          <w:rFonts w:asciiTheme="minorHAnsi" w:hAnsiTheme="minorHAnsi" w:cs="Arial"/>
          <w:sz w:val="20"/>
          <w:szCs w:val="20"/>
        </w:rPr>
        <w:t xml:space="preserve"> mil. Kč, z toho dotace státu činila </w:t>
      </w:r>
      <w:r w:rsidR="00722661">
        <w:rPr>
          <w:rFonts w:asciiTheme="minorHAnsi" w:hAnsiTheme="minorHAnsi" w:cs="Arial"/>
          <w:sz w:val="20"/>
          <w:szCs w:val="20"/>
        </w:rPr>
        <w:t>823</w:t>
      </w:r>
      <w:r w:rsidR="00211C15">
        <w:rPr>
          <w:rFonts w:asciiTheme="minorHAnsi" w:hAnsiTheme="minorHAnsi" w:cs="Arial"/>
          <w:sz w:val="20"/>
          <w:szCs w:val="20"/>
        </w:rPr>
        <w:t>,3</w:t>
      </w:r>
      <w:r w:rsidRPr="00D84666">
        <w:rPr>
          <w:rFonts w:asciiTheme="minorHAnsi" w:hAnsiTheme="minorHAnsi" w:cs="Arial"/>
          <w:sz w:val="20"/>
          <w:szCs w:val="20"/>
        </w:rPr>
        <w:t xml:space="preserve"> mil. Kč a podíl města </w:t>
      </w:r>
      <w:r w:rsidR="00211C15">
        <w:rPr>
          <w:rFonts w:asciiTheme="minorHAnsi" w:hAnsiTheme="minorHAnsi" w:cs="Arial"/>
          <w:sz w:val="20"/>
          <w:szCs w:val="20"/>
        </w:rPr>
        <w:t>287,3</w:t>
      </w:r>
      <w:r w:rsidRPr="00D84666">
        <w:rPr>
          <w:rFonts w:asciiTheme="minorHAnsi" w:hAnsiTheme="minorHAnsi" w:cs="Arial"/>
          <w:sz w:val="20"/>
          <w:szCs w:val="20"/>
        </w:rPr>
        <w:t xml:space="preserve"> mil. Kč), je město jako příjemce dotace povinno veškeré příjmy nad rámec svého spolufinancování vrátit do státního rozpočtu</w:t>
      </w:r>
      <w:r w:rsidR="00AD5107">
        <w:rPr>
          <w:rFonts w:asciiTheme="minorHAnsi" w:hAnsiTheme="minorHAnsi" w:cs="Arial"/>
          <w:sz w:val="20"/>
          <w:szCs w:val="20"/>
        </w:rPr>
        <w:t>.</w:t>
      </w:r>
    </w:p>
    <w:p w14:paraId="37001701" w14:textId="2F98A9E8" w:rsidR="00D84666" w:rsidRDefault="00413BE1" w:rsidP="009552E7">
      <w:pPr>
        <w:pStyle w:val="Odstavecseseznamem"/>
        <w:numPr>
          <w:ilvl w:val="0"/>
          <w:numId w:val="2"/>
        </w:numPr>
        <w:spacing w:after="120"/>
        <w:ind w:left="709" w:hanging="1004"/>
        <w:jc w:val="both"/>
        <w:rPr>
          <w:rFonts w:asciiTheme="minorHAnsi" w:hAnsiTheme="minorHAnsi" w:cs="Arial"/>
          <w:sz w:val="20"/>
          <w:szCs w:val="20"/>
        </w:rPr>
      </w:pPr>
      <w:r>
        <w:rPr>
          <w:rFonts w:asciiTheme="minorHAnsi" w:hAnsiTheme="minorHAnsi" w:cs="Arial"/>
          <w:sz w:val="20"/>
          <w:szCs w:val="20"/>
        </w:rPr>
        <w:t>t</w:t>
      </w:r>
      <w:r w:rsidR="00C648A5">
        <w:rPr>
          <w:rFonts w:asciiTheme="minorHAnsi" w:hAnsiTheme="minorHAnsi" w:cs="Arial"/>
          <w:sz w:val="20"/>
          <w:szCs w:val="20"/>
        </w:rPr>
        <w:t xml:space="preserve">yto </w:t>
      </w:r>
      <w:r>
        <w:rPr>
          <w:rFonts w:asciiTheme="minorHAnsi" w:hAnsiTheme="minorHAnsi" w:cs="Arial"/>
          <w:sz w:val="20"/>
          <w:szCs w:val="20"/>
        </w:rPr>
        <w:t>příjmy</w:t>
      </w:r>
      <w:r w:rsidR="00C648A5">
        <w:rPr>
          <w:rFonts w:asciiTheme="minorHAnsi" w:hAnsiTheme="minorHAnsi" w:cs="Arial"/>
          <w:sz w:val="20"/>
          <w:szCs w:val="20"/>
        </w:rPr>
        <w:t xml:space="preserve"> určené k vrácení </w:t>
      </w:r>
      <w:r>
        <w:rPr>
          <w:rFonts w:asciiTheme="minorHAnsi" w:hAnsiTheme="minorHAnsi" w:cs="Arial"/>
          <w:sz w:val="20"/>
          <w:szCs w:val="20"/>
        </w:rPr>
        <w:t xml:space="preserve">na účet Správce programu (MPO) </w:t>
      </w:r>
      <w:r w:rsidR="001F6982">
        <w:rPr>
          <w:rFonts w:asciiTheme="minorHAnsi" w:hAnsiTheme="minorHAnsi" w:cs="Arial"/>
          <w:sz w:val="20"/>
          <w:szCs w:val="20"/>
        </w:rPr>
        <w:t xml:space="preserve">lze se souhlasem </w:t>
      </w:r>
      <w:r>
        <w:rPr>
          <w:rFonts w:asciiTheme="minorHAnsi" w:hAnsiTheme="minorHAnsi" w:cs="Arial"/>
          <w:sz w:val="20"/>
          <w:szCs w:val="20"/>
        </w:rPr>
        <w:t>poskytovatele dotace</w:t>
      </w:r>
      <w:r w:rsidR="001F6982">
        <w:rPr>
          <w:rFonts w:asciiTheme="minorHAnsi" w:hAnsiTheme="minorHAnsi" w:cs="Arial"/>
          <w:sz w:val="20"/>
          <w:szCs w:val="20"/>
        </w:rPr>
        <w:t xml:space="preserve"> ponížit </w:t>
      </w:r>
      <w:r>
        <w:rPr>
          <w:rFonts w:asciiTheme="minorHAnsi" w:hAnsiTheme="minorHAnsi" w:cs="Arial"/>
          <w:sz w:val="20"/>
          <w:szCs w:val="20"/>
        </w:rPr>
        <w:br/>
      </w:r>
      <w:r w:rsidR="001F6982">
        <w:rPr>
          <w:rFonts w:asciiTheme="minorHAnsi" w:hAnsiTheme="minorHAnsi" w:cs="Arial"/>
          <w:sz w:val="20"/>
          <w:szCs w:val="20"/>
        </w:rPr>
        <w:t xml:space="preserve">o </w:t>
      </w:r>
      <w:r>
        <w:rPr>
          <w:rFonts w:asciiTheme="minorHAnsi" w:hAnsiTheme="minorHAnsi" w:cs="Arial"/>
          <w:sz w:val="20"/>
          <w:szCs w:val="20"/>
        </w:rPr>
        <w:t>výdaje</w:t>
      </w:r>
      <w:r w:rsidR="001F6982">
        <w:rPr>
          <w:rFonts w:asciiTheme="minorHAnsi" w:hAnsiTheme="minorHAnsi" w:cs="Arial"/>
          <w:sz w:val="20"/>
          <w:szCs w:val="20"/>
        </w:rPr>
        <w:t xml:space="preserve"> vynaložené </w:t>
      </w:r>
      <w:r>
        <w:rPr>
          <w:rFonts w:asciiTheme="minorHAnsi" w:hAnsiTheme="minorHAnsi" w:cs="Arial"/>
          <w:sz w:val="20"/>
          <w:szCs w:val="20"/>
        </w:rPr>
        <w:t xml:space="preserve">zpět do strategické průmyslové zóny, a to </w:t>
      </w:r>
      <w:r w:rsidR="001F6982">
        <w:rPr>
          <w:rFonts w:asciiTheme="minorHAnsi" w:hAnsiTheme="minorHAnsi" w:cs="Arial"/>
          <w:sz w:val="20"/>
          <w:szCs w:val="20"/>
        </w:rPr>
        <w:t>do správy a údržby lokality a dobudování či rekonstrukce dopravní a technické infrastruktury</w:t>
      </w:r>
      <w:r w:rsidR="003B688A">
        <w:rPr>
          <w:rFonts w:asciiTheme="minorHAnsi" w:hAnsiTheme="minorHAnsi" w:cs="Arial"/>
          <w:sz w:val="20"/>
          <w:szCs w:val="20"/>
        </w:rPr>
        <w:t>; na základě zmapování těchto výdajů byla v</w:t>
      </w:r>
      <w:r>
        <w:rPr>
          <w:rFonts w:asciiTheme="minorHAnsi" w:hAnsiTheme="minorHAnsi" w:cs="Arial"/>
          <w:sz w:val="20"/>
          <w:szCs w:val="20"/>
        </w:rPr>
        <w:t> 12/2019</w:t>
      </w:r>
      <w:r w:rsidR="003B688A">
        <w:rPr>
          <w:rFonts w:asciiTheme="minorHAnsi" w:hAnsiTheme="minorHAnsi" w:cs="Arial"/>
          <w:sz w:val="20"/>
          <w:szCs w:val="20"/>
        </w:rPr>
        <w:t xml:space="preserve"> odeslána na Správce programu žádost o souhlas s použitím výnosů </w:t>
      </w:r>
      <w:r w:rsidR="00304928">
        <w:rPr>
          <w:rFonts w:asciiTheme="minorHAnsi" w:hAnsiTheme="minorHAnsi" w:cs="Arial"/>
          <w:sz w:val="20"/>
          <w:szCs w:val="20"/>
        </w:rPr>
        <w:t>ze zóny</w:t>
      </w:r>
      <w:r w:rsidR="003B688A">
        <w:rPr>
          <w:rFonts w:asciiTheme="minorHAnsi" w:hAnsiTheme="minorHAnsi" w:cs="Arial"/>
          <w:sz w:val="20"/>
          <w:szCs w:val="20"/>
        </w:rPr>
        <w:t xml:space="preserve"> </w:t>
      </w:r>
      <w:r w:rsidR="003B688A" w:rsidRPr="00215608">
        <w:rPr>
          <w:rFonts w:asciiTheme="minorHAnsi" w:hAnsiTheme="minorHAnsi" w:cs="Arial"/>
          <w:bCs/>
          <w:sz w:val="20"/>
          <w:szCs w:val="20"/>
        </w:rPr>
        <w:t>ve výši 31 mil. Kč</w:t>
      </w:r>
      <w:r w:rsidRPr="00215608">
        <w:rPr>
          <w:rFonts w:asciiTheme="minorHAnsi" w:hAnsiTheme="minorHAnsi" w:cs="Arial"/>
          <w:sz w:val="20"/>
          <w:szCs w:val="20"/>
        </w:rPr>
        <w:t>,</w:t>
      </w:r>
      <w:r>
        <w:rPr>
          <w:rFonts w:asciiTheme="minorHAnsi" w:hAnsiTheme="minorHAnsi" w:cs="Arial"/>
          <w:sz w:val="20"/>
          <w:szCs w:val="20"/>
        </w:rPr>
        <w:t xml:space="preserve"> která byla v 09/2020 projednána v meziresortní komisi při MPO a schválena</w:t>
      </w:r>
      <w:r w:rsidR="00304928">
        <w:rPr>
          <w:rFonts w:asciiTheme="minorHAnsi" w:hAnsiTheme="minorHAnsi" w:cs="Arial"/>
          <w:sz w:val="20"/>
          <w:szCs w:val="20"/>
        </w:rPr>
        <w:t xml:space="preserve">. </w:t>
      </w:r>
    </w:p>
    <w:p w14:paraId="197F50A4" w14:textId="046D1A6B" w:rsidR="003B688A" w:rsidRDefault="00413BE1" w:rsidP="009552E7">
      <w:pPr>
        <w:pStyle w:val="Odstavecseseznamem"/>
        <w:numPr>
          <w:ilvl w:val="0"/>
          <w:numId w:val="2"/>
        </w:numPr>
        <w:spacing w:after="120"/>
        <w:ind w:left="709" w:hanging="1004"/>
        <w:jc w:val="both"/>
        <w:rPr>
          <w:rFonts w:asciiTheme="minorHAnsi" w:hAnsiTheme="minorHAnsi" w:cs="Arial"/>
          <w:sz w:val="20"/>
          <w:szCs w:val="20"/>
        </w:rPr>
      </w:pPr>
      <w:r>
        <w:rPr>
          <w:rFonts w:asciiTheme="minorHAnsi" w:hAnsiTheme="minorHAnsi" w:cs="Arial"/>
          <w:sz w:val="20"/>
          <w:szCs w:val="20"/>
        </w:rPr>
        <w:t xml:space="preserve">k 31. 12. 2020 jsou evidovány příjmy realizované na základě prodejů, pronájmů či služebností v celkové výši </w:t>
      </w:r>
      <w:r w:rsidR="00585E2A">
        <w:rPr>
          <w:rFonts w:asciiTheme="minorHAnsi" w:hAnsiTheme="minorHAnsi" w:cs="Arial"/>
          <w:sz w:val="20"/>
          <w:szCs w:val="20"/>
        </w:rPr>
        <w:t>328,15</w:t>
      </w:r>
      <w:r>
        <w:rPr>
          <w:rFonts w:asciiTheme="minorHAnsi" w:hAnsiTheme="minorHAnsi" w:cs="Arial"/>
          <w:sz w:val="20"/>
          <w:szCs w:val="20"/>
        </w:rPr>
        <w:t xml:space="preserve"> mil. Kč</w:t>
      </w:r>
      <w:r w:rsidR="00585E2A">
        <w:rPr>
          <w:rFonts w:asciiTheme="minorHAnsi" w:hAnsiTheme="minorHAnsi" w:cs="Arial"/>
          <w:sz w:val="20"/>
          <w:szCs w:val="20"/>
        </w:rPr>
        <w:t xml:space="preserve">, z toho za rok 2020 se jedná o částku </w:t>
      </w:r>
      <w:r w:rsidR="00585E2A" w:rsidRPr="00215608">
        <w:rPr>
          <w:rFonts w:asciiTheme="minorHAnsi" w:hAnsiTheme="minorHAnsi" w:cs="Arial"/>
          <w:b/>
          <w:sz w:val="20"/>
          <w:szCs w:val="20"/>
        </w:rPr>
        <w:t>133,96 mil. Kč</w:t>
      </w:r>
      <w:r w:rsidR="00585E2A">
        <w:rPr>
          <w:rFonts w:asciiTheme="minorHAnsi" w:hAnsiTheme="minorHAnsi" w:cs="Arial"/>
          <w:sz w:val="20"/>
          <w:szCs w:val="20"/>
        </w:rPr>
        <w:t xml:space="preserve">. Ta je dána především úhradami za prodané pozemky společnostem skupiny CONCENS INVESTMENTS pro I. a II. etapu výstavby parku z 01/2020. </w:t>
      </w:r>
    </w:p>
    <w:p w14:paraId="44455DCC" w14:textId="133B07D4" w:rsidR="009552E7" w:rsidRDefault="00214F91" w:rsidP="009552E7">
      <w:pPr>
        <w:pStyle w:val="Odstavecseseznamem"/>
        <w:numPr>
          <w:ilvl w:val="0"/>
          <w:numId w:val="2"/>
        </w:numPr>
        <w:spacing w:after="120"/>
        <w:ind w:left="709" w:hanging="1004"/>
        <w:jc w:val="both"/>
        <w:rPr>
          <w:rFonts w:asciiTheme="minorHAnsi" w:hAnsiTheme="minorHAnsi" w:cs="Arial"/>
          <w:sz w:val="20"/>
          <w:szCs w:val="20"/>
        </w:rPr>
      </w:pPr>
      <w:r>
        <w:rPr>
          <w:rFonts w:asciiTheme="minorHAnsi" w:hAnsiTheme="minorHAnsi" w:cs="Arial"/>
          <w:sz w:val="20"/>
          <w:szCs w:val="20"/>
        </w:rPr>
        <w:t>aktuální bilance příjmů</w:t>
      </w:r>
      <w:r w:rsidR="00073E97">
        <w:rPr>
          <w:rFonts w:asciiTheme="minorHAnsi" w:hAnsiTheme="minorHAnsi" w:cs="Arial"/>
          <w:sz w:val="20"/>
          <w:szCs w:val="20"/>
        </w:rPr>
        <w:t xml:space="preserve"> zóny</w:t>
      </w:r>
      <w:r>
        <w:rPr>
          <w:rFonts w:asciiTheme="minorHAnsi" w:hAnsiTheme="minorHAnsi" w:cs="Arial"/>
          <w:sz w:val="20"/>
          <w:szCs w:val="20"/>
        </w:rPr>
        <w:t xml:space="preserve"> vůči výdajům </w:t>
      </w:r>
      <w:r w:rsidR="00073E97">
        <w:rPr>
          <w:rFonts w:asciiTheme="minorHAnsi" w:hAnsiTheme="minorHAnsi" w:cs="Arial"/>
          <w:sz w:val="20"/>
          <w:szCs w:val="20"/>
        </w:rPr>
        <w:t xml:space="preserve">vynaloženým městem při realizaci její výstavby </w:t>
      </w:r>
      <w:r>
        <w:rPr>
          <w:rFonts w:asciiTheme="minorHAnsi" w:hAnsiTheme="minorHAnsi" w:cs="Arial"/>
          <w:sz w:val="20"/>
          <w:szCs w:val="20"/>
        </w:rPr>
        <w:t xml:space="preserve">činí </w:t>
      </w:r>
      <w:r w:rsidR="00073E97">
        <w:rPr>
          <w:rFonts w:asciiTheme="minorHAnsi" w:hAnsiTheme="minorHAnsi" w:cs="Arial"/>
          <w:sz w:val="20"/>
          <w:szCs w:val="20"/>
        </w:rPr>
        <w:t xml:space="preserve">se započtením schválených výnosů ze zóny na správu a údržbu území a dobudování infrastruktury (31 mil. Kč) částku </w:t>
      </w:r>
      <w:r w:rsidR="001F3899">
        <w:rPr>
          <w:rFonts w:asciiTheme="minorHAnsi" w:hAnsiTheme="minorHAnsi" w:cs="Arial"/>
          <w:sz w:val="20"/>
          <w:szCs w:val="20"/>
        </w:rPr>
        <w:br/>
      </w:r>
      <w:r w:rsidR="008C63F2">
        <w:rPr>
          <w:rFonts w:asciiTheme="minorHAnsi" w:hAnsiTheme="minorHAnsi" w:cs="Arial"/>
          <w:sz w:val="20"/>
          <w:szCs w:val="20"/>
        </w:rPr>
        <w:t xml:space="preserve">9,7 mil. Kč. Pokud Správce programu schválí nově předloženou výši výdajů spojených s provozováním SPZ </w:t>
      </w:r>
      <w:r w:rsidR="008C63F2">
        <w:rPr>
          <w:rFonts w:asciiTheme="minorHAnsi" w:hAnsiTheme="minorHAnsi" w:cs="Arial"/>
          <w:sz w:val="20"/>
          <w:szCs w:val="20"/>
        </w:rPr>
        <w:br/>
      </w:r>
      <w:r w:rsidR="005C176B">
        <w:rPr>
          <w:rFonts w:asciiTheme="minorHAnsi" w:hAnsiTheme="minorHAnsi" w:cs="Arial"/>
          <w:sz w:val="20"/>
          <w:szCs w:val="20"/>
        </w:rPr>
        <w:t>v částce</w:t>
      </w:r>
      <w:r w:rsidR="008C63F2">
        <w:rPr>
          <w:rFonts w:asciiTheme="minorHAnsi" w:hAnsiTheme="minorHAnsi" w:cs="Arial"/>
          <w:sz w:val="20"/>
          <w:szCs w:val="20"/>
        </w:rPr>
        <w:t xml:space="preserve"> 2,99 mil. Kč </w:t>
      </w:r>
      <w:r w:rsidR="005C176B">
        <w:rPr>
          <w:rFonts w:asciiTheme="minorHAnsi" w:hAnsiTheme="minorHAnsi" w:cs="Arial"/>
          <w:sz w:val="20"/>
          <w:szCs w:val="20"/>
        </w:rPr>
        <w:t>za rok</w:t>
      </w:r>
      <w:r w:rsidR="008C63F2">
        <w:rPr>
          <w:rFonts w:asciiTheme="minorHAnsi" w:hAnsiTheme="minorHAnsi" w:cs="Arial"/>
          <w:sz w:val="20"/>
          <w:szCs w:val="20"/>
        </w:rPr>
        <w:t xml:space="preserve"> 2020, sníží se evidovaný schodek příjmů </w:t>
      </w:r>
      <w:r w:rsidR="0004737F">
        <w:rPr>
          <w:rFonts w:asciiTheme="minorHAnsi" w:hAnsiTheme="minorHAnsi" w:cs="Arial"/>
          <w:sz w:val="20"/>
          <w:szCs w:val="20"/>
        </w:rPr>
        <w:t xml:space="preserve">k 31. 12. 2020 </w:t>
      </w:r>
      <w:r w:rsidR="008C63F2">
        <w:rPr>
          <w:rFonts w:asciiTheme="minorHAnsi" w:hAnsiTheme="minorHAnsi" w:cs="Arial"/>
          <w:sz w:val="20"/>
          <w:szCs w:val="20"/>
        </w:rPr>
        <w:t xml:space="preserve">na </w:t>
      </w:r>
      <w:r w:rsidR="008C63F2" w:rsidRPr="0004737F">
        <w:rPr>
          <w:rFonts w:asciiTheme="minorHAnsi" w:hAnsiTheme="minorHAnsi" w:cs="Arial"/>
          <w:b/>
          <w:sz w:val="20"/>
          <w:szCs w:val="20"/>
        </w:rPr>
        <w:t>6,7 mil. Kč</w:t>
      </w:r>
      <w:r w:rsidR="008C63F2">
        <w:rPr>
          <w:rFonts w:asciiTheme="minorHAnsi" w:hAnsiTheme="minorHAnsi" w:cs="Arial"/>
          <w:sz w:val="20"/>
          <w:szCs w:val="20"/>
        </w:rPr>
        <w:t xml:space="preserve">. </w:t>
      </w:r>
      <w:r w:rsidR="0037336B">
        <w:rPr>
          <w:rFonts w:asciiTheme="minorHAnsi" w:hAnsiTheme="minorHAnsi" w:cs="Arial"/>
          <w:sz w:val="20"/>
          <w:szCs w:val="20"/>
        </w:rPr>
        <w:t xml:space="preserve">  </w:t>
      </w:r>
    </w:p>
    <w:p w14:paraId="342C3A1F" w14:textId="77777777" w:rsidR="00A5471D" w:rsidRPr="00A5471D" w:rsidRDefault="00A5471D" w:rsidP="009552E7">
      <w:pPr>
        <w:spacing w:after="120"/>
        <w:ind w:left="284"/>
        <w:jc w:val="both"/>
        <w:rPr>
          <w:rFonts w:asciiTheme="minorHAnsi" w:hAnsiTheme="minorHAnsi" w:cs="Arial"/>
          <w:sz w:val="20"/>
          <w:szCs w:val="20"/>
        </w:rPr>
      </w:pPr>
      <w:r w:rsidRPr="00D84666">
        <w:rPr>
          <w:rFonts w:asciiTheme="minorHAnsi" w:hAnsiTheme="minorHAnsi" w:cs="Arial"/>
          <w:sz w:val="20"/>
          <w:szCs w:val="20"/>
        </w:rPr>
        <w:t xml:space="preserve"> </w:t>
      </w:r>
      <w:r w:rsidR="000E2FAA" w:rsidRPr="00D84666">
        <w:rPr>
          <w:rFonts w:asciiTheme="minorHAnsi" w:hAnsiTheme="minorHAnsi" w:cs="Arial"/>
          <w:sz w:val="20"/>
          <w:szCs w:val="20"/>
        </w:rPr>
        <w:t xml:space="preserve"> </w:t>
      </w:r>
    </w:p>
    <w:p w14:paraId="1FBE7707" w14:textId="77777777" w:rsidR="00022B43" w:rsidRPr="008E27DD" w:rsidRDefault="00A305C6" w:rsidP="008A42ED">
      <w:pPr>
        <w:pStyle w:val="Zkladntext"/>
        <w:numPr>
          <w:ilvl w:val="0"/>
          <w:numId w:val="1"/>
        </w:numPr>
        <w:spacing w:after="120"/>
        <w:ind w:left="641" w:hanging="357"/>
        <w:jc w:val="left"/>
        <w:rPr>
          <w:rFonts w:asciiTheme="minorHAnsi" w:hAnsiTheme="minorHAnsi" w:cs="Arial"/>
          <w:b/>
          <w:sz w:val="22"/>
          <w:szCs w:val="22"/>
        </w:rPr>
      </w:pPr>
      <w:r w:rsidRPr="008E27DD">
        <w:rPr>
          <w:rFonts w:asciiTheme="minorHAnsi" w:hAnsiTheme="minorHAnsi" w:cs="Arial"/>
          <w:b/>
          <w:sz w:val="22"/>
          <w:szCs w:val="22"/>
        </w:rPr>
        <w:t>Rozvojov</w:t>
      </w:r>
      <w:r w:rsidR="00074263" w:rsidRPr="008E27DD">
        <w:rPr>
          <w:rFonts w:asciiTheme="minorHAnsi" w:hAnsiTheme="minorHAnsi" w:cs="Arial"/>
          <w:b/>
          <w:sz w:val="22"/>
          <w:szCs w:val="22"/>
        </w:rPr>
        <w:t>á</w:t>
      </w:r>
      <w:r w:rsidRPr="008E27DD">
        <w:rPr>
          <w:rFonts w:asciiTheme="minorHAnsi" w:hAnsiTheme="minorHAnsi" w:cs="Arial"/>
          <w:b/>
          <w:sz w:val="22"/>
          <w:szCs w:val="22"/>
        </w:rPr>
        <w:t xml:space="preserve"> zón</w:t>
      </w:r>
      <w:r w:rsidR="00074263" w:rsidRPr="008E27DD">
        <w:rPr>
          <w:rFonts w:asciiTheme="minorHAnsi" w:hAnsiTheme="minorHAnsi" w:cs="Arial"/>
          <w:b/>
          <w:sz w:val="22"/>
          <w:szCs w:val="22"/>
        </w:rPr>
        <w:t>a</w:t>
      </w:r>
      <w:r w:rsidRPr="008E27DD">
        <w:rPr>
          <w:rFonts w:asciiTheme="minorHAnsi" w:hAnsiTheme="minorHAnsi" w:cs="Arial"/>
          <w:b/>
          <w:sz w:val="22"/>
          <w:szCs w:val="22"/>
        </w:rPr>
        <w:t xml:space="preserve"> Hrušov </w:t>
      </w:r>
    </w:p>
    <w:p w14:paraId="68E9111F" w14:textId="7EA37112" w:rsidR="00A3086B" w:rsidRDefault="000D63DD" w:rsidP="00A3086B">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původně </w:t>
      </w:r>
      <w:r w:rsidR="00A3086B">
        <w:rPr>
          <w:rFonts w:asciiTheme="minorHAnsi" w:hAnsiTheme="minorHAnsi" w:cs="Arial"/>
          <w:sz w:val="20"/>
          <w:szCs w:val="20"/>
        </w:rPr>
        <w:t xml:space="preserve">lokalita </w:t>
      </w:r>
      <w:r>
        <w:rPr>
          <w:rFonts w:asciiTheme="minorHAnsi" w:hAnsiTheme="minorHAnsi" w:cs="Arial"/>
          <w:sz w:val="20"/>
          <w:szCs w:val="20"/>
        </w:rPr>
        <w:t xml:space="preserve">charakteru „sociálního brownfieldu“ </w:t>
      </w:r>
      <w:r w:rsidR="00A3086B">
        <w:rPr>
          <w:rFonts w:asciiTheme="minorHAnsi" w:hAnsiTheme="minorHAnsi" w:cs="Arial"/>
          <w:sz w:val="20"/>
          <w:szCs w:val="20"/>
        </w:rPr>
        <w:t xml:space="preserve">o velikosti 35 ha, k jejíž devastaci a vysídlení </w:t>
      </w:r>
      <w:r>
        <w:rPr>
          <w:rFonts w:asciiTheme="minorHAnsi" w:hAnsiTheme="minorHAnsi" w:cs="Arial"/>
          <w:sz w:val="20"/>
          <w:szCs w:val="20"/>
        </w:rPr>
        <w:t>docházelo</w:t>
      </w:r>
      <w:r w:rsidR="00A3086B">
        <w:rPr>
          <w:rFonts w:asciiTheme="minorHAnsi" w:hAnsiTheme="minorHAnsi" w:cs="Arial"/>
          <w:sz w:val="20"/>
          <w:szCs w:val="20"/>
        </w:rPr>
        <w:t xml:space="preserve"> postupně po povodních v roce 1997</w:t>
      </w:r>
      <w:r w:rsidR="00A3086B" w:rsidRPr="00253E3C">
        <w:rPr>
          <w:rFonts w:asciiTheme="minorHAnsi" w:hAnsiTheme="minorHAnsi" w:cs="Arial"/>
          <w:sz w:val="20"/>
          <w:szCs w:val="20"/>
        </w:rPr>
        <w:t>; území je dle územně plánovací dokumentace funkčně začleněno jako oblast pro lehký průmysl, sklady a drobnou výrobu s vyloučením funkce bydlení;</w:t>
      </w:r>
    </w:p>
    <w:p w14:paraId="5042BA56" w14:textId="03CB0D72" w:rsidR="00A3086B" w:rsidRPr="00A3086B" w:rsidRDefault="00633A91" w:rsidP="00EB72F8">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v listopadu 2018 získala pozemky v lokalitě na základě developerské soutěže společnost</w:t>
      </w:r>
      <w:r w:rsidR="00A3086B" w:rsidRPr="00A3086B">
        <w:rPr>
          <w:rFonts w:asciiTheme="minorHAnsi" w:hAnsiTheme="minorHAnsi" w:cs="Arial"/>
          <w:sz w:val="20"/>
          <w:szCs w:val="20"/>
        </w:rPr>
        <w:t xml:space="preserve"> CONTERA Management </w:t>
      </w:r>
      <w:r>
        <w:rPr>
          <w:rFonts w:asciiTheme="minorHAnsi" w:hAnsiTheme="minorHAnsi" w:cs="Arial"/>
          <w:sz w:val="20"/>
          <w:szCs w:val="20"/>
        </w:rPr>
        <w:br/>
      </w:r>
      <w:r w:rsidR="00A3086B" w:rsidRPr="00A3086B">
        <w:rPr>
          <w:rFonts w:asciiTheme="minorHAnsi" w:hAnsiTheme="minorHAnsi" w:cs="Arial"/>
          <w:sz w:val="20"/>
          <w:szCs w:val="20"/>
        </w:rPr>
        <w:t xml:space="preserve">s. r. o., </w:t>
      </w:r>
      <w:r w:rsidR="000701A6">
        <w:rPr>
          <w:rFonts w:asciiTheme="minorHAnsi" w:hAnsiTheme="minorHAnsi" w:cs="Arial"/>
          <w:sz w:val="20"/>
          <w:szCs w:val="20"/>
        </w:rPr>
        <w:t>jejímž záměrem</w:t>
      </w:r>
      <w:r>
        <w:rPr>
          <w:rFonts w:asciiTheme="minorHAnsi" w:hAnsiTheme="minorHAnsi" w:cs="Arial"/>
          <w:sz w:val="20"/>
          <w:szCs w:val="20"/>
        </w:rPr>
        <w:t xml:space="preserve"> je vybudovat v území moderní business park evropské úrovně</w:t>
      </w:r>
      <w:r w:rsidR="000701A6">
        <w:rPr>
          <w:rFonts w:asciiTheme="minorHAnsi" w:hAnsiTheme="minorHAnsi" w:cs="Arial"/>
          <w:sz w:val="20"/>
          <w:szCs w:val="20"/>
        </w:rPr>
        <w:t>,</w:t>
      </w:r>
      <w:r>
        <w:rPr>
          <w:rFonts w:asciiTheme="minorHAnsi" w:hAnsiTheme="minorHAnsi" w:cs="Arial"/>
          <w:sz w:val="20"/>
          <w:szCs w:val="20"/>
        </w:rPr>
        <w:t xml:space="preserve"> </w:t>
      </w:r>
      <w:r w:rsidR="00193874">
        <w:rPr>
          <w:rFonts w:asciiTheme="minorHAnsi" w:hAnsiTheme="minorHAnsi" w:cs="Arial"/>
          <w:sz w:val="20"/>
          <w:szCs w:val="20"/>
        </w:rPr>
        <w:t xml:space="preserve">který bude </w:t>
      </w:r>
      <w:r w:rsidR="00490BD6">
        <w:rPr>
          <w:rFonts w:asciiTheme="minorHAnsi" w:hAnsiTheme="minorHAnsi" w:cs="Arial"/>
          <w:sz w:val="20"/>
          <w:szCs w:val="20"/>
        </w:rPr>
        <w:t>zastavěn</w:t>
      </w:r>
      <w:r w:rsidR="00193874">
        <w:rPr>
          <w:rFonts w:asciiTheme="minorHAnsi" w:hAnsiTheme="minorHAnsi" w:cs="Arial"/>
          <w:sz w:val="20"/>
          <w:szCs w:val="20"/>
        </w:rPr>
        <w:t xml:space="preserve"> objekty lehkého průmyslu, </w:t>
      </w:r>
      <w:proofErr w:type="spellStart"/>
      <w:r w:rsidR="00490BD6">
        <w:rPr>
          <w:rFonts w:asciiTheme="minorHAnsi" w:hAnsiTheme="minorHAnsi" w:cs="Arial"/>
          <w:sz w:val="20"/>
          <w:szCs w:val="20"/>
        </w:rPr>
        <w:t>Flexispace</w:t>
      </w:r>
      <w:proofErr w:type="spellEnd"/>
      <w:r w:rsidR="00490BD6">
        <w:rPr>
          <w:rFonts w:asciiTheme="minorHAnsi" w:hAnsiTheme="minorHAnsi" w:cs="Arial"/>
          <w:sz w:val="20"/>
          <w:szCs w:val="20"/>
        </w:rPr>
        <w:t xml:space="preserve"> jednotkami a objekty vědeckotechnologického parku. C</w:t>
      </w:r>
      <w:r>
        <w:rPr>
          <w:rFonts w:asciiTheme="minorHAnsi" w:hAnsiTheme="minorHAnsi" w:cs="Arial"/>
          <w:sz w:val="20"/>
          <w:szCs w:val="20"/>
        </w:rPr>
        <w:t>elková investice je odhadována na 1,6 až 1,9 mld. Kč;</w:t>
      </w:r>
      <w:r w:rsidR="000701A6">
        <w:rPr>
          <w:rFonts w:asciiTheme="minorHAnsi" w:hAnsiTheme="minorHAnsi" w:cs="Arial"/>
          <w:sz w:val="20"/>
          <w:szCs w:val="20"/>
        </w:rPr>
        <w:t xml:space="preserve">  </w:t>
      </w:r>
      <w:r w:rsidR="00193874">
        <w:rPr>
          <w:rFonts w:asciiTheme="minorHAnsi" w:hAnsiTheme="minorHAnsi" w:cs="Arial"/>
          <w:sz w:val="20"/>
          <w:szCs w:val="20"/>
        </w:rPr>
        <w:t xml:space="preserve"> </w:t>
      </w:r>
    </w:p>
    <w:p w14:paraId="2AF35A8C" w14:textId="12099125" w:rsidR="001C6345" w:rsidRPr="00A3086B" w:rsidRDefault="009A7406" w:rsidP="001C6345">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dle podmínek smlouvy bude </w:t>
      </w:r>
      <w:r w:rsidR="001C6345" w:rsidRPr="00A3086B">
        <w:rPr>
          <w:rFonts w:asciiTheme="minorHAnsi" w:hAnsiTheme="minorHAnsi" w:cs="Arial"/>
          <w:sz w:val="20"/>
          <w:szCs w:val="20"/>
        </w:rPr>
        <w:t xml:space="preserve">výstavba na pozemcích </w:t>
      </w:r>
      <w:r>
        <w:rPr>
          <w:rFonts w:asciiTheme="minorHAnsi" w:hAnsiTheme="minorHAnsi" w:cs="Arial"/>
          <w:sz w:val="20"/>
          <w:szCs w:val="20"/>
        </w:rPr>
        <w:t>realizována v pěti etapách</w:t>
      </w:r>
      <w:r w:rsidR="001C6345" w:rsidRPr="00A3086B">
        <w:rPr>
          <w:rFonts w:asciiTheme="minorHAnsi" w:hAnsiTheme="minorHAnsi" w:cs="Arial"/>
          <w:sz w:val="20"/>
          <w:szCs w:val="20"/>
        </w:rPr>
        <w:t>, zastavěno bude min. 58 310 m</w:t>
      </w:r>
      <w:r w:rsidR="001C6345" w:rsidRPr="001C6345">
        <w:rPr>
          <w:rFonts w:asciiTheme="minorHAnsi" w:hAnsiTheme="minorHAnsi" w:cs="Arial"/>
          <w:sz w:val="20"/>
          <w:szCs w:val="20"/>
          <w:vertAlign w:val="superscript"/>
        </w:rPr>
        <w:t>2</w:t>
      </w:r>
      <w:r w:rsidR="001C6345" w:rsidRPr="00A3086B">
        <w:rPr>
          <w:rFonts w:asciiTheme="minorHAnsi" w:hAnsiTheme="minorHAnsi" w:cs="Arial"/>
          <w:sz w:val="20"/>
          <w:szCs w:val="20"/>
        </w:rPr>
        <w:t xml:space="preserve"> plochy a poslední etapa by měla být dokončena k 12/2025. K měsíci 12/2028 se investor zavázal vytvořit min. 703 nových pracovních míst</w:t>
      </w:r>
      <w:r w:rsidR="001C6345">
        <w:rPr>
          <w:rFonts w:asciiTheme="minorHAnsi" w:hAnsiTheme="minorHAnsi" w:cs="Arial"/>
          <w:sz w:val="20"/>
          <w:szCs w:val="20"/>
        </w:rPr>
        <w:t xml:space="preserve">, z toho alespoň 200 pozic </w:t>
      </w:r>
      <w:r w:rsidR="008304AD">
        <w:rPr>
          <w:rFonts w:asciiTheme="minorHAnsi" w:hAnsiTheme="minorHAnsi" w:cs="Arial"/>
          <w:sz w:val="20"/>
          <w:szCs w:val="20"/>
        </w:rPr>
        <w:t>s vysokoškolským vzděláním</w:t>
      </w:r>
      <w:r w:rsidR="001C6345" w:rsidRPr="00A3086B">
        <w:rPr>
          <w:rFonts w:asciiTheme="minorHAnsi" w:hAnsiTheme="minorHAnsi" w:cs="Arial"/>
          <w:sz w:val="20"/>
          <w:szCs w:val="20"/>
        </w:rPr>
        <w:t>;</w:t>
      </w:r>
      <w:r w:rsidR="004727F8">
        <w:rPr>
          <w:rFonts w:asciiTheme="minorHAnsi" w:hAnsiTheme="minorHAnsi" w:cs="Arial"/>
          <w:sz w:val="20"/>
          <w:szCs w:val="20"/>
        </w:rPr>
        <w:t xml:space="preserve"> </w:t>
      </w:r>
    </w:p>
    <w:p w14:paraId="54E57683" w14:textId="093D4F5C" w:rsidR="00D90A9D" w:rsidRDefault="009A7406" w:rsidP="00EC17B2">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v průběhu r. 2020 došlo na základě vydaných pravomocných územních rozhodnutí k umístění objektů pro lehký průmysl LP1 a LP2 v celkovém rozsahu zastavění 86 510 m</w:t>
      </w:r>
      <w:r>
        <w:rPr>
          <w:rFonts w:asciiTheme="minorHAnsi" w:hAnsiTheme="minorHAnsi" w:cs="Arial"/>
          <w:sz w:val="20"/>
          <w:szCs w:val="20"/>
          <w:vertAlign w:val="superscript"/>
        </w:rPr>
        <w:t>2</w:t>
      </w:r>
      <w:r>
        <w:rPr>
          <w:rFonts w:asciiTheme="minorHAnsi" w:hAnsiTheme="minorHAnsi" w:cs="Arial"/>
          <w:sz w:val="20"/>
          <w:szCs w:val="20"/>
        </w:rPr>
        <w:t xml:space="preserve"> a umístění objektů </w:t>
      </w:r>
      <w:proofErr w:type="spellStart"/>
      <w:r>
        <w:rPr>
          <w:rFonts w:asciiTheme="minorHAnsi" w:hAnsiTheme="minorHAnsi" w:cs="Arial"/>
          <w:sz w:val="20"/>
          <w:szCs w:val="20"/>
        </w:rPr>
        <w:t>Flexispace</w:t>
      </w:r>
      <w:proofErr w:type="spellEnd"/>
      <w:r>
        <w:rPr>
          <w:rFonts w:asciiTheme="minorHAnsi" w:hAnsiTheme="minorHAnsi" w:cs="Arial"/>
          <w:sz w:val="20"/>
          <w:szCs w:val="20"/>
        </w:rPr>
        <w:t xml:space="preserve"> FL1, FL</w:t>
      </w:r>
      <w:r w:rsidR="004727F8">
        <w:rPr>
          <w:rFonts w:asciiTheme="minorHAnsi" w:hAnsiTheme="minorHAnsi" w:cs="Arial"/>
          <w:sz w:val="20"/>
          <w:szCs w:val="20"/>
        </w:rPr>
        <w:t>3</w:t>
      </w:r>
      <w:r>
        <w:rPr>
          <w:rFonts w:asciiTheme="minorHAnsi" w:hAnsiTheme="minorHAnsi" w:cs="Arial"/>
          <w:sz w:val="20"/>
          <w:szCs w:val="20"/>
        </w:rPr>
        <w:t xml:space="preserve"> a FL</w:t>
      </w:r>
      <w:r w:rsidR="004727F8">
        <w:rPr>
          <w:rFonts w:asciiTheme="minorHAnsi" w:hAnsiTheme="minorHAnsi" w:cs="Arial"/>
          <w:sz w:val="20"/>
          <w:szCs w:val="20"/>
        </w:rPr>
        <w:t>4</w:t>
      </w:r>
      <w:r>
        <w:rPr>
          <w:rFonts w:asciiTheme="minorHAnsi" w:hAnsiTheme="minorHAnsi" w:cs="Arial"/>
          <w:sz w:val="20"/>
          <w:szCs w:val="20"/>
        </w:rPr>
        <w:t xml:space="preserve"> v celkovém rozsahu </w:t>
      </w:r>
      <w:r w:rsidR="009E5144">
        <w:rPr>
          <w:rFonts w:asciiTheme="minorHAnsi" w:hAnsiTheme="minorHAnsi" w:cs="Arial"/>
          <w:sz w:val="20"/>
          <w:szCs w:val="20"/>
        </w:rPr>
        <w:t xml:space="preserve">zastavění </w:t>
      </w:r>
      <w:r>
        <w:rPr>
          <w:rFonts w:asciiTheme="minorHAnsi" w:hAnsiTheme="minorHAnsi" w:cs="Arial"/>
          <w:sz w:val="20"/>
          <w:szCs w:val="20"/>
        </w:rPr>
        <w:t>27 079 m</w:t>
      </w:r>
      <w:r>
        <w:rPr>
          <w:rFonts w:asciiTheme="minorHAnsi" w:hAnsiTheme="minorHAnsi" w:cs="Arial"/>
          <w:sz w:val="20"/>
          <w:szCs w:val="20"/>
          <w:vertAlign w:val="superscript"/>
        </w:rPr>
        <w:t>2</w:t>
      </w:r>
      <w:r w:rsidR="00681D10">
        <w:rPr>
          <w:rFonts w:asciiTheme="minorHAnsi" w:hAnsiTheme="minorHAnsi" w:cs="Arial"/>
          <w:sz w:val="20"/>
          <w:szCs w:val="20"/>
        </w:rPr>
        <w:t>.</w:t>
      </w:r>
      <w:r w:rsidR="008304AD">
        <w:rPr>
          <w:rFonts w:asciiTheme="minorHAnsi" w:hAnsiTheme="minorHAnsi" w:cs="Arial"/>
          <w:sz w:val="20"/>
          <w:szCs w:val="20"/>
        </w:rPr>
        <w:t xml:space="preserve"> </w:t>
      </w:r>
      <w:r w:rsidR="004727F8">
        <w:rPr>
          <w:rFonts w:asciiTheme="minorHAnsi" w:hAnsiTheme="minorHAnsi" w:cs="Arial"/>
          <w:sz w:val="20"/>
          <w:szCs w:val="20"/>
        </w:rPr>
        <w:t xml:space="preserve">Pravomocná územní rozhodnutí byla vydána rovněž na páteřní infrastrukturu (páteřní komunikace a nová vedení technické infrastruktury včetně přeložek stávajících inženýrských sítí). </w:t>
      </w:r>
      <w:r w:rsidR="00EC17B2">
        <w:rPr>
          <w:rFonts w:asciiTheme="minorHAnsi" w:hAnsiTheme="minorHAnsi" w:cs="Arial"/>
          <w:sz w:val="20"/>
          <w:szCs w:val="20"/>
        </w:rPr>
        <w:br/>
      </w:r>
      <w:r w:rsidR="009D2D07">
        <w:rPr>
          <w:rFonts w:asciiTheme="minorHAnsi" w:hAnsiTheme="minorHAnsi" w:cs="Arial"/>
          <w:sz w:val="20"/>
          <w:szCs w:val="20"/>
        </w:rPr>
        <w:t xml:space="preserve">V 07/2020 bylo na objekty LP1, LP2 a FL1 vydáno stavební povolení. </w:t>
      </w:r>
      <w:r w:rsidR="009E5144">
        <w:rPr>
          <w:rFonts w:asciiTheme="minorHAnsi" w:hAnsiTheme="minorHAnsi" w:cs="Arial"/>
          <w:sz w:val="20"/>
          <w:szCs w:val="20"/>
        </w:rPr>
        <w:t xml:space="preserve">Výstavba objektu LP1 byla zahájena, probíhá pilotáž a montáž skeletu haly. </w:t>
      </w:r>
    </w:p>
    <w:p w14:paraId="6F151958" w14:textId="6F000EDC" w:rsidR="00960555" w:rsidRDefault="00626BD2" w:rsidP="00626BD2">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v závěru r. 2020 byla z podnětu společnosti CONTERA zahájena jednání o uzavření dodatku č. 2 ke stávající kupní smlouvě ev. č. 3300/2018/MJ ve znění dodatku č. 1</w:t>
      </w:r>
      <w:r w:rsidR="00960555" w:rsidRPr="00BE5CC6">
        <w:rPr>
          <w:rFonts w:asciiTheme="minorHAnsi" w:hAnsiTheme="minorHAnsi" w:cs="Arial"/>
          <w:sz w:val="20"/>
          <w:szCs w:val="20"/>
        </w:rPr>
        <w:t xml:space="preserve">. </w:t>
      </w:r>
      <w:r w:rsidR="006C6AAF">
        <w:rPr>
          <w:rFonts w:asciiTheme="minorHAnsi" w:hAnsiTheme="minorHAnsi" w:cs="Arial"/>
          <w:sz w:val="20"/>
          <w:szCs w:val="20"/>
        </w:rPr>
        <w:t xml:space="preserve">Předmětem úpravy </w:t>
      </w:r>
      <w:r w:rsidR="00BF34E1">
        <w:rPr>
          <w:rFonts w:asciiTheme="minorHAnsi" w:hAnsiTheme="minorHAnsi" w:cs="Arial"/>
          <w:sz w:val="20"/>
          <w:szCs w:val="20"/>
        </w:rPr>
        <w:t>měla</w:t>
      </w:r>
      <w:r w:rsidR="006C6AAF">
        <w:rPr>
          <w:rFonts w:asciiTheme="minorHAnsi" w:hAnsiTheme="minorHAnsi" w:cs="Arial"/>
          <w:sz w:val="20"/>
          <w:szCs w:val="20"/>
        </w:rPr>
        <w:t xml:space="preserve"> být stávající koncepce zástavby parku, kde by mělo dojít k optimalizaci ve vazbě na aktuální poptávku a požadavky klientů, se kterými CON</w:t>
      </w:r>
      <w:r w:rsidR="00DB56BC">
        <w:rPr>
          <w:rFonts w:asciiTheme="minorHAnsi" w:hAnsiTheme="minorHAnsi" w:cs="Arial"/>
          <w:sz w:val="20"/>
          <w:szCs w:val="20"/>
        </w:rPr>
        <w:t xml:space="preserve">TERA vstoupila v jednání. </w:t>
      </w:r>
      <w:r w:rsidR="005F7DB4">
        <w:rPr>
          <w:rFonts w:asciiTheme="minorHAnsi" w:hAnsiTheme="minorHAnsi" w:cs="Arial"/>
          <w:sz w:val="20"/>
          <w:szCs w:val="20"/>
        </w:rPr>
        <w:t xml:space="preserve">Jednání dosud nejsou uzavřena, </w:t>
      </w:r>
      <w:r w:rsidR="00D633D6">
        <w:rPr>
          <w:rFonts w:asciiTheme="minorHAnsi" w:hAnsiTheme="minorHAnsi" w:cs="Arial"/>
          <w:sz w:val="20"/>
          <w:szCs w:val="20"/>
        </w:rPr>
        <w:t xml:space="preserve">cílem je najít společné řešení umožňující flexibilitu využití území </w:t>
      </w:r>
      <w:r w:rsidR="00D4681E">
        <w:rPr>
          <w:rFonts w:asciiTheme="minorHAnsi" w:hAnsiTheme="minorHAnsi" w:cs="Arial"/>
          <w:sz w:val="20"/>
          <w:szCs w:val="20"/>
        </w:rPr>
        <w:br/>
      </w:r>
      <w:r w:rsidR="00D633D6">
        <w:rPr>
          <w:rFonts w:asciiTheme="minorHAnsi" w:hAnsiTheme="minorHAnsi" w:cs="Arial"/>
          <w:sz w:val="20"/>
          <w:szCs w:val="20"/>
        </w:rPr>
        <w:t xml:space="preserve">pro developera a současně </w:t>
      </w:r>
      <w:r w:rsidR="00DB02FC">
        <w:rPr>
          <w:rFonts w:asciiTheme="minorHAnsi" w:hAnsiTheme="minorHAnsi" w:cs="Arial"/>
          <w:sz w:val="20"/>
          <w:szCs w:val="20"/>
        </w:rPr>
        <w:t xml:space="preserve">možnost </w:t>
      </w:r>
      <w:r w:rsidR="00D633D6">
        <w:rPr>
          <w:rFonts w:asciiTheme="minorHAnsi" w:hAnsiTheme="minorHAnsi" w:cs="Arial"/>
          <w:sz w:val="20"/>
          <w:szCs w:val="20"/>
        </w:rPr>
        <w:t>zachování kontrolních mechanismů města ve vztahu k dodržení podmínek výstavby parku</w:t>
      </w:r>
      <w:r w:rsidR="005F7DB4">
        <w:rPr>
          <w:rFonts w:asciiTheme="minorHAnsi" w:hAnsiTheme="minorHAnsi" w:cs="Arial"/>
          <w:sz w:val="20"/>
          <w:szCs w:val="20"/>
        </w:rPr>
        <w:t xml:space="preserve">. </w:t>
      </w:r>
    </w:p>
    <w:p w14:paraId="337FC49B" w14:textId="77777777" w:rsidR="00626BD2" w:rsidRPr="00BE5CC6" w:rsidRDefault="00626BD2" w:rsidP="00626BD2">
      <w:pPr>
        <w:pStyle w:val="Zkladntext"/>
        <w:spacing w:after="120"/>
        <w:rPr>
          <w:rFonts w:asciiTheme="minorHAnsi" w:hAnsiTheme="minorHAnsi" w:cs="Arial"/>
          <w:sz w:val="20"/>
          <w:szCs w:val="20"/>
        </w:rPr>
      </w:pPr>
    </w:p>
    <w:p w14:paraId="710A094C" w14:textId="77777777" w:rsidR="008F68EE" w:rsidRPr="001F1C78" w:rsidRDefault="00C853DE" w:rsidP="008A42ED">
      <w:pPr>
        <w:pStyle w:val="Zkladntext"/>
        <w:numPr>
          <w:ilvl w:val="0"/>
          <w:numId w:val="1"/>
        </w:numPr>
        <w:spacing w:after="120"/>
        <w:ind w:left="284" w:hanging="357"/>
        <w:rPr>
          <w:rFonts w:asciiTheme="minorHAnsi" w:hAnsiTheme="minorHAnsi" w:cs="Arial"/>
          <w:sz w:val="20"/>
          <w:szCs w:val="20"/>
        </w:rPr>
      </w:pPr>
      <w:r w:rsidRPr="00C05C75">
        <w:rPr>
          <w:rFonts w:asciiTheme="minorHAnsi" w:hAnsiTheme="minorHAnsi" w:cs="Arial"/>
          <w:b/>
          <w:sz w:val="22"/>
          <w:szCs w:val="22"/>
        </w:rPr>
        <w:lastRenderedPageBreak/>
        <w:t xml:space="preserve">Moravskoslezské inovační centrum </w:t>
      </w:r>
      <w:r w:rsidR="00C05C75">
        <w:rPr>
          <w:rFonts w:asciiTheme="minorHAnsi" w:hAnsiTheme="minorHAnsi" w:cs="Arial"/>
          <w:b/>
          <w:sz w:val="22"/>
          <w:szCs w:val="22"/>
        </w:rPr>
        <w:t xml:space="preserve">– areál Technologického parku </w:t>
      </w:r>
    </w:p>
    <w:p w14:paraId="2913AB23" w14:textId="77777777" w:rsidR="001F1C78" w:rsidRPr="009D32C3" w:rsidRDefault="001F1C78" w:rsidP="001F1C78">
      <w:pPr>
        <w:pStyle w:val="Zkladntext"/>
        <w:spacing w:after="120"/>
        <w:ind w:left="-73" w:firstLine="357"/>
        <w:rPr>
          <w:rFonts w:asciiTheme="minorHAnsi" w:hAnsiTheme="minorHAnsi" w:cs="Arial"/>
          <w:sz w:val="20"/>
          <w:szCs w:val="20"/>
        </w:rPr>
      </w:pPr>
      <w:r w:rsidRPr="001F1C78">
        <w:rPr>
          <w:rFonts w:asciiTheme="minorHAnsi" w:hAnsiTheme="minorHAnsi" w:cs="Arial"/>
          <w:b/>
          <w:bCs/>
          <w:sz w:val="20"/>
          <w:szCs w:val="20"/>
        </w:rPr>
        <w:t xml:space="preserve">Tabulka vývoje obsazenosti multifukčních budov v letech 2016 </w:t>
      </w:r>
      <w:r w:rsidR="004C6BD7">
        <w:rPr>
          <w:rFonts w:asciiTheme="minorHAnsi" w:hAnsiTheme="minorHAnsi" w:cs="Arial"/>
          <w:b/>
          <w:bCs/>
          <w:sz w:val="20"/>
          <w:szCs w:val="20"/>
        </w:rPr>
        <w:t>-</w:t>
      </w:r>
      <w:r w:rsidRPr="001F1C78">
        <w:rPr>
          <w:rFonts w:asciiTheme="minorHAnsi" w:hAnsiTheme="minorHAnsi" w:cs="Arial"/>
          <w:b/>
          <w:bCs/>
          <w:sz w:val="20"/>
          <w:szCs w:val="20"/>
        </w:rPr>
        <w:t xml:space="preserve"> 2020</w:t>
      </w:r>
      <w:r w:rsidR="009D32C3">
        <w:rPr>
          <w:rFonts w:asciiTheme="minorHAnsi" w:hAnsiTheme="minorHAnsi" w:cs="Arial"/>
          <w:b/>
          <w:bCs/>
          <w:sz w:val="20"/>
          <w:szCs w:val="20"/>
        </w:rPr>
        <w:t xml:space="preserve"> </w:t>
      </w:r>
      <w:r w:rsidR="009D32C3" w:rsidRPr="009D32C3">
        <w:rPr>
          <w:rFonts w:asciiTheme="minorHAnsi" w:hAnsiTheme="minorHAnsi" w:cs="Arial"/>
          <w:sz w:val="20"/>
          <w:szCs w:val="20"/>
        </w:rPr>
        <w:t>(v %)</w:t>
      </w:r>
    </w:p>
    <w:tbl>
      <w:tblPr>
        <w:tblW w:w="9488" w:type="dxa"/>
        <w:jc w:val="center"/>
        <w:tblCellMar>
          <w:left w:w="70" w:type="dxa"/>
          <w:right w:w="70" w:type="dxa"/>
        </w:tblCellMar>
        <w:tblLook w:val="04A0" w:firstRow="1" w:lastRow="0" w:firstColumn="1" w:lastColumn="0" w:noHBand="0" w:noVBand="1"/>
      </w:tblPr>
      <w:tblGrid>
        <w:gridCol w:w="1582"/>
        <w:gridCol w:w="1582"/>
        <w:gridCol w:w="1581"/>
        <w:gridCol w:w="1581"/>
        <w:gridCol w:w="1581"/>
        <w:gridCol w:w="1581"/>
      </w:tblGrid>
      <w:tr w:rsidR="001F1C78" w:rsidRPr="008262CC" w14:paraId="1F42A656" w14:textId="77777777" w:rsidTr="001F1C78">
        <w:trPr>
          <w:trHeight w:hRule="exact" w:val="397"/>
          <w:jc w:val="center"/>
        </w:trPr>
        <w:tc>
          <w:tcPr>
            <w:tcW w:w="1134" w:type="dxa"/>
            <w:tcBorders>
              <w:top w:val="single" w:sz="8" w:space="0" w:color="auto"/>
              <w:left w:val="single" w:sz="8" w:space="0" w:color="auto"/>
              <w:bottom w:val="single" w:sz="12" w:space="0" w:color="auto"/>
              <w:right w:val="single" w:sz="12" w:space="0" w:color="auto"/>
            </w:tcBorders>
            <w:shd w:val="clear" w:color="auto" w:fill="D9D9D9"/>
            <w:vAlign w:val="center"/>
            <w:hideMark/>
          </w:tcPr>
          <w:p w14:paraId="7299215F" w14:textId="77777777" w:rsidR="001F1C78" w:rsidRPr="008262CC" w:rsidRDefault="001F1C78"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MFB</w:t>
            </w:r>
          </w:p>
        </w:tc>
        <w:tc>
          <w:tcPr>
            <w:tcW w:w="1134" w:type="dxa"/>
            <w:tcBorders>
              <w:top w:val="single" w:sz="8" w:space="0" w:color="auto"/>
              <w:left w:val="single" w:sz="12" w:space="0" w:color="auto"/>
              <w:bottom w:val="single" w:sz="12" w:space="0" w:color="auto"/>
              <w:right w:val="single" w:sz="8" w:space="0" w:color="auto"/>
            </w:tcBorders>
            <w:shd w:val="clear" w:color="auto" w:fill="D9D9D9"/>
            <w:vAlign w:val="center"/>
          </w:tcPr>
          <w:p w14:paraId="77A23A89" w14:textId="77777777" w:rsidR="001F1C78" w:rsidRPr="008262CC" w:rsidRDefault="001F1C78"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12/2016</w:t>
            </w:r>
          </w:p>
        </w:tc>
        <w:tc>
          <w:tcPr>
            <w:tcW w:w="1134" w:type="dxa"/>
            <w:tcBorders>
              <w:top w:val="single" w:sz="8" w:space="0" w:color="auto"/>
              <w:left w:val="single" w:sz="8" w:space="0" w:color="auto"/>
              <w:bottom w:val="single" w:sz="12" w:space="0" w:color="auto"/>
              <w:right w:val="single" w:sz="8" w:space="0" w:color="auto"/>
            </w:tcBorders>
            <w:shd w:val="clear" w:color="auto" w:fill="D9D9D9"/>
            <w:vAlign w:val="center"/>
          </w:tcPr>
          <w:p w14:paraId="25AC91E2" w14:textId="77777777" w:rsidR="001F1C78" w:rsidRPr="008262CC" w:rsidRDefault="001F1C78" w:rsidP="001F1C78">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12/2017</w:t>
            </w:r>
          </w:p>
        </w:tc>
        <w:tc>
          <w:tcPr>
            <w:tcW w:w="1134" w:type="dxa"/>
            <w:tcBorders>
              <w:top w:val="single" w:sz="8" w:space="0" w:color="auto"/>
              <w:left w:val="single" w:sz="8" w:space="0" w:color="auto"/>
              <w:bottom w:val="single" w:sz="12" w:space="0" w:color="auto"/>
              <w:right w:val="single" w:sz="8" w:space="0" w:color="auto"/>
            </w:tcBorders>
            <w:shd w:val="clear" w:color="auto" w:fill="D9D9D9"/>
            <w:vAlign w:val="center"/>
          </w:tcPr>
          <w:p w14:paraId="6865452B" w14:textId="77777777" w:rsidR="001F1C78" w:rsidRPr="008262CC" w:rsidRDefault="001F1C78"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12/2018</w:t>
            </w:r>
          </w:p>
        </w:tc>
        <w:tc>
          <w:tcPr>
            <w:tcW w:w="1134" w:type="dxa"/>
            <w:tcBorders>
              <w:top w:val="single" w:sz="8" w:space="0" w:color="auto"/>
              <w:left w:val="single" w:sz="8" w:space="0" w:color="auto"/>
              <w:bottom w:val="single" w:sz="12" w:space="0" w:color="auto"/>
              <w:right w:val="single" w:sz="4" w:space="0" w:color="auto"/>
            </w:tcBorders>
            <w:shd w:val="clear" w:color="auto" w:fill="D9D9D9"/>
            <w:vAlign w:val="center"/>
            <w:hideMark/>
          </w:tcPr>
          <w:p w14:paraId="101B7A0F" w14:textId="77777777" w:rsidR="001F1C78" w:rsidRPr="008262CC" w:rsidRDefault="001F1C78"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12/2019</w:t>
            </w:r>
          </w:p>
        </w:tc>
        <w:tc>
          <w:tcPr>
            <w:tcW w:w="1134" w:type="dxa"/>
            <w:tcBorders>
              <w:top w:val="single" w:sz="8" w:space="0" w:color="auto"/>
              <w:left w:val="nil"/>
              <w:bottom w:val="single" w:sz="12" w:space="0" w:color="auto"/>
              <w:right w:val="single" w:sz="8" w:space="0" w:color="auto"/>
            </w:tcBorders>
            <w:shd w:val="clear" w:color="auto" w:fill="D9D9D9"/>
            <w:vAlign w:val="center"/>
            <w:hideMark/>
          </w:tcPr>
          <w:p w14:paraId="09265975" w14:textId="1D7BE009" w:rsidR="001F1C78" w:rsidRPr="008262CC" w:rsidRDefault="00F44B69"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12</w:t>
            </w:r>
            <w:r w:rsidR="001F1C78">
              <w:rPr>
                <w:rFonts w:asciiTheme="minorHAnsi" w:hAnsiTheme="minorHAnsi" w:cs="Arial"/>
                <w:b/>
                <w:bCs/>
                <w:color w:val="000000"/>
                <w:sz w:val="18"/>
                <w:szCs w:val="18"/>
              </w:rPr>
              <w:t>/2020</w:t>
            </w:r>
          </w:p>
        </w:tc>
      </w:tr>
      <w:tr w:rsidR="001F1C78" w:rsidRPr="00A2630B" w14:paraId="3619E9F4" w14:textId="77777777" w:rsidTr="001F1C78">
        <w:trPr>
          <w:trHeight w:hRule="exact" w:val="397"/>
          <w:jc w:val="center"/>
        </w:trPr>
        <w:tc>
          <w:tcPr>
            <w:tcW w:w="1134" w:type="dxa"/>
            <w:tcBorders>
              <w:top w:val="single" w:sz="12" w:space="0" w:color="auto"/>
              <w:left w:val="single" w:sz="8" w:space="0" w:color="auto"/>
              <w:bottom w:val="single" w:sz="4" w:space="0" w:color="auto"/>
              <w:right w:val="single" w:sz="12" w:space="0" w:color="auto"/>
            </w:tcBorders>
            <w:vAlign w:val="center"/>
          </w:tcPr>
          <w:p w14:paraId="5AF3F9FF" w14:textId="77777777" w:rsidR="001F1C78" w:rsidRPr="008262CC" w:rsidRDefault="001F1C78" w:rsidP="001F1C78">
            <w:pPr>
              <w:jc w:val="center"/>
              <w:rPr>
                <w:rFonts w:asciiTheme="minorHAnsi" w:hAnsiTheme="minorHAnsi" w:cs="Arial"/>
                <w:color w:val="000000"/>
                <w:sz w:val="18"/>
                <w:szCs w:val="18"/>
              </w:rPr>
            </w:pPr>
            <w:r>
              <w:rPr>
                <w:rFonts w:asciiTheme="minorHAnsi" w:hAnsiTheme="minorHAnsi" w:cs="Arial"/>
                <w:color w:val="000000"/>
                <w:sz w:val="18"/>
                <w:szCs w:val="18"/>
              </w:rPr>
              <w:t>PIANO</w:t>
            </w:r>
          </w:p>
        </w:tc>
        <w:tc>
          <w:tcPr>
            <w:tcW w:w="1134" w:type="dxa"/>
            <w:tcBorders>
              <w:top w:val="single" w:sz="12" w:space="0" w:color="auto"/>
              <w:left w:val="single" w:sz="12" w:space="0" w:color="auto"/>
              <w:bottom w:val="single" w:sz="4" w:space="0" w:color="auto"/>
              <w:right w:val="single" w:sz="8" w:space="0" w:color="auto"/>
            </w:tcBorders>
            <w:vAlign w:val="center"/>
          </w:tcPr>
          <w:p w14:paraId="5CCA93C9" w14:textId="77777777" w:rsidR="001F1C78" w:rsidRPr="00561402" w:rsidRDefault="001F1C78" w:rsidP="001F1C78">
            <w:pPr>
              <w:jc w:val="center"/>
              <w:rPr>
                <w:rFonts w:asciiTheme="minorHAnsi" w:hAnsiTheme="minorHAnsi" w:cs="Arial"/>
                <w:sz w:val="18"/>
                <w:szCs w:val="18"/>
              </w:rPr>
            </w:pPr>
            <w:r>
              <w:rPr>
                <w:rFonts w:asciiTheme="minorHAnsi" w:hAnsiTheme="minorHAnsi" w:cs="Arial"/>
                <w:sz w:val="18"/>
                <w:szCs w:val="18"/>
              </w:rPr>
              <w:t>90</w:t>
            </w:r>
          </w:p>
        </w:tc>
        <w:tc>
          <w:tcPr>
            <w:tcW w:w="1134" w:type="dxa"/>
            <w:tcBorders>
              <w:top w:val="single" w:sz="12" w:space="0" w:color="auto"/>
              <w:left w:val="single" w:sz="8" w:space="0" w:color="auto"/>
              <w:bottom w:val="single" w:sz="4" w:space="0" w:color="auto"/>
              <w:right w:val="single" w:sz="8" w:space="0" w:color="auto"/>
            </w:tcBorders>
            <w:vAlign w:val="center"/>
          </w:tcPr>
          <w:p w14:paraId="6294724A" w14:textId="77777777" w:rsidR="001F1C78" w:rsidRPr="006E198E" w:rsidRDefault="006E198E" w:rsidP="001F1C78">
            <w:pPr>
              <w:ind w:left="-208"/>
              <w:jc w:val="center"/>
              <w:rPr>
                <w:rFonts w:asciiTheme="minorHAnsi" w:hAnsiTheme="minorHAnsi" w:cs="Arial"/>
                <w:sz w:val="18"/>
                <w:szCs w:val="18"/>
              </w:rPr>
            </w:pPr>
            <w:r w:rsidRPr="006E198E">
              <w:rPr>
                <w:rFonts w:asciiTheme="minorHAnsi" w:hAnsiTheme="minorHAnsi" w:cs="Arial"/>
                <w:sz w:val="18"/>
                <w:szCs w:val="18"/>
              </w:rPr>
              <w:t>85</w:t>
            </w:r>
          </w:p>
        </w:tc>
        <w:tc>
          <w:tcPr>
            <w:tcW w:w="1134" w:type="dxa"/>
            <w:tcBorders>
              <w:top w:val="single" w:sz="12" w:space="0" w:color="auto"/>
              <w:left w:val="single" w:sz="8" w:space="0" w:color="auto"/>
              <w:bottom w:val="single" w:sz="4" w:space="0" w:color="auto"/>
              <w:right w:val="single" w:sz="8" w:space="0" w:color="auto"/>
            </w:tcBorders>
            <w:vAlign w:val="center"/>
          </w:tcPr>
          <w:p w14:paraId="73F16CC7" w14:textId="77777777" w:rsidR="001F1C78" w:rsidRPr="00A2630B" w:rsidRDefault="006E198E" w:rsidP="001F1C78">
            <w:pPr>
              <w:jc w:val="center"/>
              <w:rPr>
                <w:rFonts w:asciiTheme="minorHAnsi" w:hAnsiTheme="minorHAnsi" w:cs="Arial"/>
                <w:sz w:val="18"/>
                <w:szCs w:val="18"/>
                <w:lang w:val="en-US"/>
              </w:rPr>
            </w:pPr>
            <w:r>
              <w:rPr>
                <w:rFonts w:asciiTheme="minorHAnsi" w:hAnsiTheme="minorHAnsi" w:cs="Arial"/>
                <w:sz w:val="18"/>
                <w:szCs w:val="18"/>
                <w:lang w:val="en-US"/>
              </w:rPr>
              <w:t>88</w:t>
            </w:r>
          </w:p>
        </w:tc>
        <w:tc>
          <w:tcPr>
            <w:tcW w:w="1134" w:type="dxa"/>
            <w:tcBorders>
              <w:top w:val="single" w:sz="12" w:space="0" w:color="auto"/>
              <w:left w:val="single" w:sz="8" w:space="0" w:color="auto"/>
              <w:bottom w:val="single" w:sz="4" w:space="0" w:color="auto"/>
              <w:right w:val="single" w:sz="4" w:space="0" w:color="auto"/>
            </w:tcBorders>
            <w:vAlign w:val="center"/>
          </w:tcPr>
          <w:p w14:paraId="0FE6FDB7" w14:textId="77777777" w:rsidR="001F1C78" w:rsidRPr="006E198E" w:rsidRDefault="006E198E" w:rsidP="001F1C78">
            <w:pPr>
              <w:jc w:val="center"/>
              <w:rPr>
                <w:rFonts w:asciiTheme="minorHAnsi" w:hAnsiTheme="minorHAnsi" w:cs="Arial"/>
                <w:sz w:val="18"/>
                <w:szCs w:val="18"/>
                <w:lang w:val="en-US"/>
              </w:rPr>
            </w:pPr>
            <w:r w:rsidRPr="006E198E">
              <w:rPr>
                <w:rFonts w:asciiTheme="minorHAnsi" w:hAnsiTheme="minorHAnsi" w:cs="Arial"/>
                <w:sz w:val="18"/>
                <w:szCs w:val="18"/>
                <w:lang w:val="en-US"/>
              </w:rPr>
              <w:t>93</w:t>
            </w:r>
          </w:p>
        </w:tc>
        <w:tc>
          <w:tcPr>
            <w:tcW w:w="1134" w:type="dxa"/>
            <w:tcBorders>
              <w:top w:val="single" w:sz="12" w:space="0" w:color="auto"/>
              <w:left w:val="nil"/>
              <w:bottom w:val="single" w:sz="4" w:space="0" w:color="auto"/>
              <w:right w:val="single" w:sz="8" w:space="0" w:color="auto"/>
            </w:tcBorders>
            <w:vAlign w:val="center"/>
          </w:tcPr>
          <w:p w14:paraId="2BA00CDB" w14:textId="41CCA336" w:rsidR="001F1C78" w:rsidRPr="006E198E" w:rsidRDefault="00653BC2" w:rsidP="001F1C78">
            <w:pPr>
              <w:jc w:val="center"/>
              <w:rPr>
                <w:rFonts w:asciiTheme="minorHAnsi" w:hAnsiTheme="minorHAnsi" w:cs="Arial"/>
                <w:sz w:val="18"/>
                <w:szCs w:val="18"/>
                <w:lang w:val="en-US"/>
              </w:rPr>
            </w:pPr>
            <w:r>
              <w:rPr>
                <w:rFonts w:asciiTheme="minorHAnsi" w:hAnsiTheme="minorHAnsi" w:cs="Arial"/>
                <w:sz w:val="18"/>
                <w:szCs w:val="18"/>
                <w:lang w:val="en-US"/>
              </w:rPr>
              <w:t>93</w:t>
            </w:r>
          </w:p>
        </w:tc>
      </w:tr>
      <w:tr w:rsidR="001F1C78" w:rsidRPr="00A2630B" w14:paraId="204ACBFF" w14:textId="77777777" w:rsidTr="001F1C78">
        <w:trPr>
          <w:trHeight w:hRule="exact" w:val="397"/>
          <w:jc w:val="center"/>
        </w:trPr>
        <w:tc>
          <w:tcPr>
            <w:tcW w:w="1134" w:type="dxa"/>
            <w:tcBorders>
              <w:top w:val="nil"/>
              <w:left w:val="single" w:sz="8" w:space="0" w:color="auto"/>
              <w:bottom w:val="single" w:sz="4" w:space="0" w:color="auto"/>
              <w:right w:val="single" w:sz="12" w:space="0" w:color="auto"/>
            </w:tcBorders>
            <w:vAlign w:val="center"/>
          </w:tcPr>
          <w:p w14:paraId="1B30F88E" w14:textId="77777777" w:rsidR="001F1C78" w:rsidRPr="008262CC" w:rsidRDefault="001F1C78" w:rsidP="001F1C78">
            <w:pPr>
              <w:jc w:val="center"/>
              <w:rPr>
                <w:rFonts w:asciiTheme="minorHAnsi" w:hAnsiTheme="minorHAnsi" w:cs="Arial"/>
                <w:color w:val="000000"/>
                <w:sz w:val="18"/>
                <w:szCs w:val="18"/>
              </w:rPr>
            </w:pPr>
            <w:r>
              <w:rPr>
                <w:rFonts w:asciiTheme="minorHAnsi" w:hAnsiTheme="minorHAnsi" w:cs="Arial"/>
                <w:color w:val="000000"/>
                <w:sz w:val="18"/>
                <w:szCs w:val="18"/>
              </w:rPr>
              <w:t>TANDEM</w:t>
            </w:r>
          </w:p>
        </w:tc>
        <w:tc>
          <w:tcPr>
            <w:tcW w:w="1134" w:type="dxa"/>
            <w:tcBorders>
              <w:top w:val="nil"/>
              <w:left w:val="single" w:sz="12" w:space="0" w:color="auto"/>
              <w:bottom w:val="single" w:sz="4" w:space="0" w:color="auto"/>
              <w:right w:val="single" w:sz="8" w:space="0" w:color="auto"/>
            </w:tcBorders>
            <w:vAlign w:val="center"/>
          </w:tcPr>
          <w:p w14:paraId="40BC1AEE" w14:textId="77777777" w:rsidR="001F1C78" w:rsidRPr="00561402" w:rsidRDefault="001F1C78" w:rsidP="001F1C78">
            <w:pPr>
              <w:jc w:val="center"/>
              <w:rPr>
                <w:rFonts w:asciiTheme="minorHAnsi" w:hAnsiTheme="minorHAnsi" w:cs="Arial"/>
                <w:sz w:val="18"/>
                <w:szCs w:val="18"/>
              </w:rPr>
            </w:pPr>
            <w:r>
              <w:rPr>
                <w:rFonts w:asciiTheme="minorHAnsi" w:hAnsiTheme="minorHAnsi" w:cs="Arial"/>
                <w:sz w:val="18"/>
                <w:szCs w:val="18"/>
              </w:rPr>
              <w:t>25</w:t>
            </w:r>
          </w:p>
        </w:tc>
        <w:tc>
          <w:tcPr>
            <w:tcW w:w="1134" w:type="dxa"/>
            <w:tcBorders>
              <w:top w:val="nil"/>
              <w:left w:val="single" w:sz="8" w:space="0" w:color="auto"/>
              <w:bottom w:val="single" w:sz="4" w:space="0" w:color="auto"/>
              <w:right w:val="single" w:sz="8" w:space="0" w:color="auto"/>
            </w:tcBorders>
            <w:vAlign w:val="center"/>
          </w:tcPr>
          <w:p w14:paraId="0B61F0E9" w14:textId="77777777" w:rsidR="001F1C78" w:rsidRPr="006E198E" w:rsidRDefault="006E198E" w:rsidP="001F1C78">
            <w:pPr>
              <w:ind w:left="-208"/>
              <w:jc w:val="center"/>
              <w:rPr>
                <w:rFonts w:asciiTheme="minorHAnsi" w:hAnsiTheme="minorHAnsi" w:cs="Arial"/>
                <w:sz w:val="18"/>
                <w:szCs w:val="18"/>
              </w:rPr>
            </w:pPr>
            <w:r w:rsidRPr="006E198E">
              <w:rPr>
                <w:rFonts w:asciiTheme="minorHAnsi" w:hAnsiTheme="minorHAnsi" w:cs="Arial"/>
                <w:sz w:val="18"/>
                <w:szCs w:val="18"/>
              </w:rPr>
              <w:t>50</w:t>
            </w:r>
          </w:p>
        </w:tc>
        <w:tc>
          <w:tcPr>
            <w:tcW w:w="1134" w:type="dxa"/>
            <w:tcBorders>
              <w:top w:val="nil"/>
              <w:left w:val="single" w:sz="8" w:space="0" w:color="auto"/>
              <w:bottom w:val="single" w:sz="4" w:space="0" w:color="auto"/>
              <w:right w:val="single" w:sz="8" w:space="0" w:color="auto"/>
            </w:tcBorders>
            <w:vAlign w:val="center"/>
          </w:tcPr>
          <w:p w14:paraId="4763C2F5" w14:textId="77777777" w:rsidR="001F1C78" w:rsidRPr="00A2630B" w:rsidRDefault="006E198E" w:rsidP="001F1C78">
            <w:pPr>
              <w:jc w:val="center"/>
              <w:rPr>
                <w:rFonts w:asciiTheme="minorHAnsi" w:hAnsiTheme="minorHAnsi" w:cs="Arial"/>
                <w:sz w:val="18"/>
                <w:szCs w:val="18"/>
              </w:rPr>
            </w:pPr>
            <w:r>
              <w:rPr>
                <w:rFonts w:asciiTheme="minorHAnsi" w:hAnsiTheme="minorHAnsi" w:cs="Arial"/>
                <w:sz w:val="18"/>
                <w:szCs w:val="18"/>
              </w:rPr>
              <w:t>55</w:t>
            </w:r>
          </w:p>
        </w:tc>
        <w:tc>
          <w:tcPr>
            <w:tcW w:w="1134" w:type="dxa"/>
            <w:tcBorders>
              <w:top w:val="nil"/>
              <w:left w:val="single" w:sz="8" w:space="0" w:color="auto"/>
              <w:bottom w:val="single" w:sz="4" w:space="0" w:color="auto"/>
              <w:right w:val="single" w:sz="4" w:space="0" w:color="auto"/>
            </w:tcBorders>
            <w:vAlign w:val="center"/>
          </w:tcPr>
          <w:p w14:paraId="593B0034" w14:textId="77777777" w:rsidR="001F1C78" w:rsidRPr="006E198E" w:rsidRDefault="006E198E" w:rsidP="001F1C78">
            <w:pPr>
              <w:jc w:val="center"/>
              <w:rPr>
                <w:rFonts w:asciiTheme="minorHAnsi" w:hAnsiTheme="minorHAnsi" w:cs="Arial"/>
                <w:sz w:val="18"/>
                <w:szCs w:val="18"/>
              </w:rPr>
            </w:pPr>
            <w:r w:rsidRPr="006E198E">
              <w:rPr>
                <w:rFonts w:asciiTheme="minorHAnsi" w:hAnsiTheme="minorHAnsi" w:cs="Arial"/>
                <w:sz w:val="18"/>
                <w:szCs w:val="18"/>
              </w:rPr>
              <w:t>63</w:t>
            </w:r>
          </w:p>
        </w:tc>
        <w:tc>
          <w:tcPr>
            <w:tcW w:w="1134" w:type="dxa"/>
            <w:tcBorders>
              <w:top w:val="nil"/>
              <w:left w:val="nil"/>
              <w:bottom w:val="single" w:sz="4" w:space="0" w:color="auto"/>
              <w:right w:val="single" w:sz="8" w:space="0" w:color="auto"/>
            </w:tcBorders>
            <w:vAlign w:val="center"/>
          </w:tcPr>
          <w:p w14:paraId="4783A481" w14:textId="662CFD13" w:rsidR="001F1C78" w:rsidRPr="006E198E" w:rsidRDefault="00653BC2" w:rsidP="001F1C78">
            <w:pPr>
              <w:jc w:val="center"/>
              <w:rPr>
                <w:rFonts w:asciiTheme="minorHAnsi" w:hAnsiTheme="minorHAnsi" w:cs="Arial"/>
                <w:sz w:val="18"/>
                <w:szCs w:val="18"/>
              </w:rPr>
            </w:pPr>
            <w:r>
              <w:rPr>
                <w:rFonts w:asciiTheme="minorHAnsi" w:hAnsiTheme="minorHAnsi" w:cs="Arial"/>
                <w:sz w:val="18"/>
                <w:szCs w:val="18"/>
              </w:rPr>
              <w:t>85</w:t>
            </w:r>
          </w:p>
        </w:tc>
      </w:tr>
      <w:tr w:rsidR="001F1C78" w:rsidRPr="000C2424" w14:paraId="22604C02" w14:textId="77777777" w:rsidTr="001F1C78">
        <w:trPr>
          <w:trHeight w:hRule="exact" w:val="397"/>
          <w:jc w:val="center"/>
        </w:trPr>
        <w:tc>
          <w:tcPr>
            <w:tcW w:w="1134" w:type="dxa"/>
            <w:tcBorders>
              <w:top w:val="single" w:sz="4" w:space="0" w:color="auto"/>
              <w:left w:val="single" w:sz="8" w:space="0" w:color="auto"/>
              <w:bottom w:val="single" w:sz="8" w:space="0" w:color="auto"/>
              <w:right w:val="single" w:sz="12" w:space="0" w:color="auto"/>
            </w:tcBorders>
            <w:vAlign w:val="center"/>
          </w:tcPr>
          <w:p w14:paraId="7080B506" w14:textId="77777777" w:rsidR="001F1C78" w:rsidRPr="008262CC" w:rsidRDefault="001F1C78" w:rsidP="001F1C78">
            <w:pPr>
              <w:jc w:val="center"/>
              <w:rPr>
                <w:rFonts w:asciiTheme="minorHAnsi" w:hAnsiTheme="minorHAnsi" w:cs="Arial"/>
                <w:color w:val="000000"/>
                <w:sz w:val="18"/>
                <w:szCs w:val="18"/>
              </w:rPr>
            </w:pPr>
            <w:r>
              <w:rPr>
                <w:rFonts w:asciiTheme="minorHAnsi" w:hAnsiTheme="minorHAnsi" w:cs="Arial"/>
                <w:color w:val="000000"/>
                <w:sz w:val="18"/>
                <w:szCs w:val="18"/>
              </w:rPr>
              <w:t>VIVA</w:t>
            </w:r>
          </w:p>
        </w:tc>
        <w:tc>
          <w:tcPr>
            <w:tcW w:w="1134" w:type="dxa"/>
            <w:tcBorders>
              <w:top w:val="single" w:sz="4" w:space="0" w:color="auto"/>
              <w:left w:val="single" w:sz="12" w:space="0" w:color="auto"/>
              <w:bottom w:val="single" w:sz="8" w:space="0" w:color="auto"/>
              <w:right w:val="single" w:sz="8" w:space="0" w:color="auto"/>
            </w:tcBorders>
            <w:vAlign w:val="center"/>
          </w:tcPr>
          <w:p w14:paraId="14AD9AA6" w14:textId="77777777" w:rsidR="001F1C78" w:rsidRPr="00561402" w:rsidRDefault="001F1C78" w:rsidP="001F1C78">
            <w:pPr>
              <w:jc w:val="center"/>
              <w:rPr>
                <w:rFonts w:asciiTheme="minorHAnsi" w:hAnsiTheme="minorHAnsi" w:cs="Arial"/>
                <w:sz w:val="18"/>
                <w:szCs w:val="18"/>
              </w:rPr>
            </w:pPr>
            <w:r>
              <w:rPr>
                <w:rFonts w:asciiTheme="minorHAnsi" w:hAnsiTheme="minorHAnsi" w:cs="Arial"/>
                <w:sz w:val="18"/>
                <w:szCs w:val="18"/>
              </w:rPr>
              <w:t>90</w:t>
            </w:r>
          </w:p>
        </w:tc>
        <w:tc>
          <w:tcPr>
            <w:tcW w:w="1134" w:type="dxa"/>
            <w:tcBorders>
              <w:top w:val="single" w:sz="4" w:space="0" w:color="auto"/>
              <w:left w:val="single" w:sz="8" w:space="0" w:color="auto"/>
              <w:bottom w:val="single" w:sz="8" w:space="0" w:color="auto"/>
              <w:right w:val="single" w:sz="8" w:space="0" w:color="auto"/>
            </w:tcBorders>
            <w:vAlign w:val="center"/>
          </w:tcPr>
          <w:p w14:paraId="63128255" w14:textId="77777777" w:rsidR="001F1C78" w:rsidRPr="006E198E" w:rsidRDefault="006E198E" w:rsidP="001F1C78">
            <w:pPr>
              <w:ind w:left="-208"/>
              <w:jc w:val="center"/>
              <w:rPr>
                <w:rFonts w:asciiTheme="minorHAnsi" w:hAnsiTheme="minorHAnsi" w:cs="Arial"/>
                <w:sz w:val="18"/>
                <w:szCs w:val="18"/>
              </w:rPr>
            </w:pPr>
            <w:r w:rsidRPr="006E198E">
              <w:rPr>
                <w:rFonts w:asciiTheme="minorHAnsi" w:hAnsiTheme="minorHAnsi" w:cs="Arial"/>
                <w:sz w:val="18"/>
                <w:szCs w:val="18"/>
              </w:rPr>
              <w:t>90</w:t>
            </w:r>
          </w:p>
        </w:tc>
        <w:tc>
          <w:tcPr>
            <w:tcW w:w="1134" w:type="dxa"/>
            <w:tcBorders>
              <w:top w:val="single" w:sz="4" w:space="0" w:color="auto"/>
              <w:left w:val="single" w:sz="8" w:space="0" w:color="auto"/>
              <w:bottom w:val="single" w:sz="8" w:space="0" w:color="auto"/>
              <w:right w:val="single" w:sz="8" w:space="0" w:color="auto"/>
            </w:tcBorders>
            <w:vAlign w:val="center"/>
          </w:tcPr>
          <w:p w14:paraId="581EE147" w14:textId="77777777" w:rsidR="001F1C78" w:rsidRPr="00A2630B" w:rsidRDefault="006E198E" w:rsidP="001F1C78">
            <w:pPr>
              <w:jc w:val="center"/>
              <w:rPr>
                <w:rFonts w:asciiTheme="minorHAnsi" w:hAnsiTheme="minorHAnsi" w:cs="Arial"/>
                <w:sz w:val="18"/>
                <w:szCs w:val="18"/>
              </w:rPr>
            </w:pPr>
            <w:r>
              <w:rPr>
                <w:rFonts w:asciiTheme="minorHAnsi" w:hAnsiTheme="minorHAnsi" w:cs="Arial"/>
                <w:sz w:val="18"/>
                <w:szCs w:val="18"/>
              </w:rPr>
              <w:t>94</w:t>
            </w:r>
          </w:p>
        </w:tc>
        <w:tc>
          <w:tcPr>
            <w:tcW w:w="1134" w:type="dxa"/>
            <w:tcBorders>
              <w:top w:val="single" w:sz="4" w:space="0" w:color="auto"/>
              <w:left w:val="single" w:sz="8" w:space="0" w:color="auto"/>
              <w:bottom w:val="single" w:sz="8" w:space="0" w:color="auto"/>
              <w:right w:val="single" w:sz="4" w:space="0" w:color="auto"/>
            </w:tcBorders>
            <w:vAlign w:val="center"/>
          </w:tcPr>
          <w:p w14:paraId="33B537F0" w14:textId="77777777" w:rsidR="001F1C78" w:rsidRPr="006E198E" w:rsidRDefault="006E198E" w:rsidP="001F1C78">
            <w:pPr>
              <w:jc w:val="center"/>
              <w:rPr>
                <w:rFonts w:asciiTheme="minorHAnsi" w:hAnsiTheme="minorHAnsi" w:cs="Arial"/>
                <w:sz w:val="18"/>
                <w:szCs w:val="18"/>
              </w:rPr>
            </w:pPr>
            <w:r w:rsidRPr="006E198E">
              <w:rPr>
                <w:rFonts w:asciiTheme="minorHAnsi" w:hAnsiTheme="minorHAnsi" w:cs="Arial"/>
                <w:sz w:val="18"/>
                <w:szCs w:val="18"/>
              </w:rPr>
              <w:t>100</w:t>
            </w:r>
          </w:p>
        </w:tc>
        <w:tc>
          <w:tcPr>
            <w:tcW w:w="1134" w:type="dxa"/>
            <w:tcBorders>
              <w:top w:val="single" w:sz="4" w:space="0" w:color="auto"/>
              <w:left w:val="nil"/>
              <w:bottom w:val="single" w:sz="8" w:space="0" w:color="auto"/>
              <w:right w:val="single" w:sz="8" w:space="0" w:color="auto"/>
            </w:tcBorders>
            <w:vAlign w:val="center"/>
          </w:tcPr>
          <w:p w14:paraId="4A2FAF2E" w14:textId="794D43B5" w:rsidR="001F1C78" w:rsidRPr="006E198E" w:rsidRDefault="00653BC2" w:rsidP="001F1C78">
            <w:pPr>
              <w:jc w:val="center"/>
              <w:rPr>
                <w:rFonts w:asciiTheme="minorHAnsi" w:hAnsiTheme="minorHAnsi" w:cs="Arial"/>
                <w:sz w:val="18"/>
                <w:szCs w:val="18"/>
              </w:rPr>
            </w:pPr>
            <w:r>
              <w:rPr>
                <w:rFonts w:asciiTheme="minorHAnsi" w:hAnsiTheme="minorHAnsi" w:cs="Arial"/>
                <w:sz w:val="18"/>
                <w:szCs w:val="18"/>
              </w:rPr>
              <w:t>99</w:t>
            </w:r>
          </w:p>
        </w:tc>
      </w:tr>
      <w:tr w:rsidR="001F1C78" w:rsidRPr="000C2424" w14:paraId="0DF964AA" w14:textId="77777777" w:rsidTr="001F1C78">
        <w:trPr>
          <w:trHeight w:hRule="exact" w:val="397"/>
          <w:jc w:val="center"/>
        </w:trPr>
        <w:tc>
          <w:tcPr>
            <w:tcW w:w="1134" w:type="dxa"/>
            <w:tcBorders>
              <w:top w:val="single" w:sz="4" w:space="0" w:color="auto"/>
              <w:left w:val="single" w:sz="8" w:space="0" w:color="auto"/>
              <w:bottom w:val="single" w:sz="8" w:space="0" w:color="auto"/>
              <w:right w:val="single" w:sz="12" w:space="0" w:color="auto"/>
            </w:tcBorders>
            <w:vAlign w:val="center"/>
          </w:tcPr>
          <w:p w14:paraId="6350A976" w14:textId="77777777" w:rsidR="001F1C78" w:rsidRPr="008262CC" w:rsidRDefault="001F1C78" w:rsidP="001F1C78">
            <w:pPr>
              <w:jc w:val="center"/>
              <w:rPr>
                <w:rFonts w:asciiTheme="minorHAnsi" w:hAnsiTheme="minorHAnsi" w:cs="Arial"/>
                <w:color w:val="000000"/>
                <w:sz w:val="18"/>
                <w:szCs w:val="18"/>
              </w:rPr>
            </w:pPr>
            <w:r>
              <w:rPr>
                <w:rFonts w:asciiTheme="minorHAnsi" w:hAnsiTheme="minorHAnsi" w:cs="Arial"/>
                <w:color w:val="000000"/>
                <w:sz w:val="18"/>
                <w:szCs w:val="18"/>
              </w:rPr>
              <w:t xml:space="preserve">TRIDENT </w:t>
            </w:r>
          </w:p>
        </w:tc>
        <w:tc>
          <w:tcPr>
            <w:tcW w:w="1134" w:type="dxa"/>
            <w:tcBorders>
              <w:top w:val="single" w:sz="4" w:space="0" w:color="auto"/>
              <w:left w:val="single" w:sz="12" w:space="0" w:color="auto"/>
              <w:bottom w:val="single" w:sz="8" w:space="0" w:color="auto"/>
              <w:right w:val="single" w:sz="8" w:space="0" w:color="auto"/>
            </w:tcBorders>
            <w:vAlign w:val="center"/>
          </w:tcPr>
          <w:p w14:paraId="288211AC" w14:textId="77777777" w:rsidR="001F1C78" w:rsidRPr="00561402" w:rsidRDefault="001F1C78" w:rsidP="001F1C78">
            <w:pPr>
              <w:jc w:val="center"/>
              <w:rPr>
                <w:rFonts w:asciiTheme="minorHAnsi" w:hAnsiTheme="minorHAnsi" w:cs="Arial"/>
                <w:sz w:val="18"/>
                <w:szCs w:val="18"/>
              </w:rPr>
            </w:pPr>
            <w:r>
              <w:rPr>
                <w:rFonts w:asciiTheme="minorHAnsi" w:hAnsiTheme="minorHAnsi" w:cs="Arial"/>
                <w:sz w:val="18"/>
                <w:szCs w:val="18"/>
              </w:rPr>
              <w:t>55</w:t>
            </w:r>
          </w:p>
        </w:tc>
        <w:tc>
          <w:tcPr>
            <w:tcW w:w="1134" w:type="dxa"/>
            <w:tcBorders>
              <w:top w:val="single" w:sz="4" w:space="0" w:color="auto"/>
              <w:left w:val="single" w:sz="8" w:space="0" w:color="auto"/>
              <w:bottom w:val="single" w:sz="8" w:space="0" w:color="auto"/>
              <w:right w:val="single" w:sz="8" w:space="0" w:color="auto"/>
            </w:tcBorders>
            <w:vAlign w:val="center"/>
          </w:tcPr>
          <w:p w14:paraId="20ECCC5A" w14:textId="77777777" w:rsidR="001F1C78" w:rsidRPr="006E198E" w:rsidRDefault="006E198E" w:rsidP="001F1C78">
            <w:pPr>
              <w:ind w:left="-208"/>
              <w:jc w:val="center"/>
              <w:rPr>
                <w:rFonts w:asciiTheme="minorHAnsi" w:hAnsiTheme="minorHAnsi" w:cs="Arial"/>
                <w:sz w:val="18"/>
                <w:szCs w:val="18"/>
              </w:rPr>
            </w:pPr>
            <w:r w:rsidRPr="006E198E">
              <w:rPr>
                <w:rFonts w:asciiTheme="minorHAnsi" w:hAnsiTheme="minorHAnsi" w:cs="Arial"/>
                <w:sz w:val="18"/>
                <w:szCs w:val="18"/>
              </w:rPr>
              <w:t>70</w:t>
            </w:r>
          </w:p>
        </w:tc>
        <w:tc>
          <w:tcPr>
            <w:tcW w:w="1134" w:type="dxa"/>
            <w:tcBorders>
              <w:top w:val="single" w:sz="4" w:space="0" w:color="auto"/>
              <w:left w:val="single" w:sz="8" w:space="0" w:color="auto"/>
              <w:bottom w:val="single" w:sz="8" w:space="0" w:color="auto"/>
              <w:right w:val="single" w:sz="8" w:space="0" w:color="auto"/>
            </w:tcBorders>
            <w:vAlign w:val="center"/>
          </w:tcPr>
          <w:p w14:paraId="37685C82" w14:textId="77777777" w:rsidR="001F1C78" w:rsidRPr="00A2630B" w:rsidRDefault="006E198E" w:rsidP="001F1C78">
            <w:pPr>
              <w:jc w:val="center"/>
              <w:rPr>
                <w:rFonts w:asciiTheme="minorHAnsi" w:hAnsiTheme="minorHAnsi" w:cs="Arial"/>
                <w:sz w:val="18"/>
                <w:szCs w:val="18"/>
              </w:rPr>
            </w:pPr>
            <w:r>
              <w:rPr>
                <w:rFonts w:asciiTheme="minorHAnsi" w:hAnsiTheme="minorHAnsi" w:cs="Arial"/>
                <w:sz w:val="18"/>
                <w:szCs w:val="18"/>
              </w:rPr>
              <w:t>96</w:t>
            </w:r>
          </w:p>
        </w:tc>
        <w:tc>
          <w:tcPr>
            <w:tcW w:w="1134" w:type="dxa"/>
            <w:tcBorders>
              <w:top w:val="single" w:sz="4" w:space="0" w:color="auto"/>
              <w:left w:val="single" w:sz="8" w:space="0" w:color="auto"/>
              <w:bottom w:val="single" w:sz="8" w:space="0" w:color="auto"/>
              <w:right w:val="single" w:sz="4" w:space="0" w:color="auto"/>
            </w:tcBorders>
            <w:vAlign w:val="center"/>
          </w:tcPr>
          <w:p w14:paraId="39B1A977" w14:textId="77777777" w:rsidR="001F1C78" w:rsidRPr="006E198E" w:rsidRDefault="006E198E" w:rsidP="001F1C78">
            <w:pPr>
              <w:jc w:val="center"/>
              <w:rPr>
                <w:rFonts w:asciiTheme="minorHAnsi" w:hAnsiTheme="minorHAnsi" w:cs="Arial"/>
                <w:sz w:val="18"/>
                <w:szCs w:val="18"/>
              </w:rPr>
            </w:pPr>
            <w:r w:rsidRPr="006E198E">
              <w:rPr>
                <w:rFonts w:asciiTheme="minorHAnsi" w:hAnsiTheme="minorHAnsi" w:cs="Arial"/>
                <w:sz w:val="18"/>
                <w:szCs w:val="18"/>
              </w:rPr>
              <w:t>97</w:t>
            </w:r>
          </w:p>
        </w:tc>
        <w:tc>
          <w:tcPr>
            <w:tcW w:w="1134" w:type="dxa"/>
            <w:tcBorders>
              <w:top w:val="single" w:sz="4" w:space="0" w:color="auto"/>
              <w:left w:val="nil"/>
              <w:bottom w:val="single" w:sz="8" w:space="0" w:color="auto"/>
              <w:right w:val="single" w:sz="8" w:space="0" w:color="auto"/>
            </w:tcBorders>
            <w:vAlign w:val="center"/>
          </w:tcPr>
          <w:p w14:paraId="6FBF0395" w14:textId="30ECF8DC" w:rsidR="001F1C78" w:rsidRPr="006E198E" w:rsidRDefault="00653BC2" w:rsidP="001F1C78">
            <w:pPr>
              <w:jc w:val="center"/>
              <w:rPr>
                <w:rFonts w:asciiTheme="minorHAnsi" w:hAnsiTheme="minorHAnsi" w:cs="Arial"/>
                <w:sz w:val="18"/>
                <w:szCs w:val="18"/>
              </w:rPr>
            </w:pPr>
            <w:r>
              <w:rPr>
                <w:rFonts w:asciiTheme="minorHAnsi" w:hAnsiTheme="minorHAnsi" w:cs="Arial"/>
                <w:sz w:val="18"/>
                <w:szCs w:val="18"/>
              </w:rPr>
              <w:t>97</w:t>
            </w:r>
          </w:p>
        </w:tc>
      </w:tr>
      <w:tr w:rsidR="001F1C78" w:rsidRPr="00A2630B" w14:paraId="1CBB9889" w14:textId="77777777" w:rsidTr="001F1C78">
        <w:trPr>
          <w:trHeight w:val="315"/>
          <w:jc w:val="center"/>
        </w:trPr>
        <w:tc>
          <w:tcPr>
            <w:tcW w:w="1134" w:type="dxa"/>
            <w:tcBorders>
              <w:top w:val="single" w:sz="12" w:space="0" w:color="auto"/>
              <w:left w:val="single" w:sz="8" w:space="0" w:color="auto"/>
              <w:bottom w:val="single" w:sz="8" w:space="0" w:color="auto"/>
              <w:right w:val="single" w:sz="12" w:space="0" w:color="auto"/>
            </w:tcBorders>
            <w:shd w:val="clear" w:color="auto" w:fill="D9D9D9"/>
            <w:vAlign w:val="center"/>
            <w:hideMark/>
          </w:tcPr>
          <w:p w14:paraId="33979936" w14:textId="77777777" w:rsidR="001F1C78" w:rsidRPr="008262CC" w:rsidRDefault="001F1C78" w:rsidP="001F1C78">
            <w:pPr>
              <w:jc w:val="center"/>
              <w:rPr>
                <w:rFonts w:asciiTheme="minorHAnsi" w:hAnsiTheme="minorHAnsi" w:cs="Arial"/>
                <w:b/>
                <w:bCs/>
                <w:color w:val="000000"/>
                <w:sz w:val="18"/>
                <w:szCs w:val="18"/>
              </w:rPr>
            </w:pPr>
            <w:r>
              <w:rPr>
                <w:rFonts w:asciiTheme="minorHAnsi" w:hAnsiTheme="minorHAnsi" w:cs="Arial"/>
                <w:b/>
                <w:bCs/>
                <w:color w:val="000000"/>
                <w:sz w:val="18"/>
                <w:szCs w:val="18"/>
              </w:rPr>
              <w:t>Počet PM celkem</w:t>
            </w:r>
          </w:p>
        </w:tc>
        <w:tc>
          <w:tcPr>
            <w:tcW w:w="1134" w:type="dxa"/>
            <w:tcBorders>
              <w:top w:val="single" w:sz="12" w:space="0" w:color="auto"/>
              <w:left w:val="single" w:sz="12" w:space="0" w:color="auto"/>
              <w:bottom w:val="single" w:sz="8" w:space="0" w:color="auto"/>
              <w:right w:val="single" w:sz="8" w:space="0" w:color="auto"/>
            </w:tcBorders>
            <w:shd w:val="clear" w:color="auto" w:fill="D9D9D9"/>
            <w:vAlign w:val="center"/>
          </w:tcPr>
          <w:p w14:paraId="59DD8315" w14:textId="77777777" w:rsidR="001F1C78" w:rsidRPr="00561402" w:rsidRDefault="001F1C78" w:rsidP="001F1C78">
            <w:pPr>
              <w:jc w:val="center"/>
              <w:rPr>
                <w:rFonts w:asciiTheme="minorHAnsi" w:hAnsiTheme="minorHAnsi" w:cs="Arial"/>
                <w:sz w:val="18"/>
                <w:szCs w:val="18"/>
              </w:rPr>
            </w:pPr>
            <w:r>
              <w:rPr>
                <w:rFonts w:asciiTheme="minorHAnsi" w:hAnsiTheme="minorHAnsi" w:cs="Arial"/>
                <w:sz w:val="18"/>
                <w:szCs w:val="18"/>
              </w:rPr>
              <w:t>538</w:t>
            </w:r>
          </w:p>
        </w:tc>
        <w:tc>
          <w:tcPr>
            <w:tcW w:w="1134" w:type="dxa"/>
            <w:tcBorders>
              <w:top w:val="single" w:sz="12" w:space="0" w:color="auto"/>
              <w:left w:val="single" w:sz="8" w:space="0" w:color="auto"/>
              <w:bottom w:val="single" w:sz="8" w:space="0" w:color="auto"/>
              <w:right w:val="single" w:sz="8" w:space="0" w:color="auto"/>
            </w:tcBorders>
            <w:shd w:val="clear" w:color="auto" w:fill="D9D9D9"/>
            <w:vAlign w:val="center"/>
          </w:tcPr>
          <w:p w14:paraId="21FAADFF" w14:textId="77777777" w:rsidR="001F1C78" w:rsidRPr="006E198E" w:rsidRDefault="006E198E" w:rsidP="001F1C78">
            <w:pPr>
              <w:ind w:left="-208"/>
              <w:jc w:val="center"/>
              <w:rPr>
                <w:rFonts w:asciiTheme="minorHAnsi" w:hAnsiTheme="minorHAnsi" w:cs="Arial"/>
                <w:sz w:val="18"/>
                <w:szCs w:val="18"/>
              </w:rPr>
            </w:pPr>
            <w:r w:rsidRPr="006E198E">
              <w:rPr>
                <w:rFonts w:asciiTheme="minorHAnsi" w:hAnsiTheme="minorHAnsi" w:cs="Arial"/>
                <w:sz w:val="18"/>
                <w:szCs w:val="18"/>
              </w:rPr>
              <w:t>625</w:t>
            </w:r>
          </w:p>
        </w:tc>
        <w:tc>
          <w:tcPr>
            <w:tcW w:w="1134" w:type="dxa"/>
            <w:tcBorders>
              <w:top w:val="single" w:sz="12" w:space="0" w:color="auto"/>
              <w:left w:val="single" w:sz="8" w:space="0" w:color="auto"/>
              <w:bottom w:val="single" w:sz="8" w:space="0" w:color="auto"/>
              <w:right w:val="single" w:sz="8" w:space="0" w:color="auto"/>
            </w:tcBorders>
            <w:shd w:val="clear" w:color="auto" w:fill="D9D9D9"/>
            <w:vAlign w:val="center"/>
          </w:tcPr>
          <w:p w14:paraId="28F1E2A9" w14:textId="77777777" w:rsidR="001F1C78" w:rsidRPr="00A2630B" w:rsidRDefault="006E198E" w:rsidP="001F1C78">
            <w:pPr>
              <w:jc w:val="center"/>
              <w:rPr>
                <w:rFonts w:asciiTheme="minorHAnsi" w:hAnsiTheme="minorHAnsi" w:cs="Arial"/>
                <w:sz w:val="18"/>
                <w:szCs w:val="18"/>
              </w:rPr>
            </w:pPr>
            <w:r>
              <w:rPr>
                <w:rFonts w:asciiTheme="minorHAnsi" w:hAnsiTheme="minorHAnsi" w:cs="Arial"/>
                <w:sz w:val="18"/>
                <w:szCs w:val="18"/>
              </w:rPr>
              <w:t>862</w:t>
            </w:r>
          </w:p>
        </w:tc>
        <w:tc>
          <w:tcPr>
            <w:tcW w:w="1134" w:type="dxa"/>
            <w:tcBorders>
              <w:top w:val="single" w:sz="12" w:space="0" w:color="auto"/>
              <w:left w:val="single" w:sz="8" w:space="0" w:color="auto"/>
              <w:bottom w:val="single" w:sz="8" w:space="0" w:color="auto"/>
              <w:right w:val="single" w:sz="4" w:space="0" w:color="auto"/>
            </w:tcBorders>
            <w:shd w:val="clear" w:color="auto" w:fill="D9D9D9"/>
            <w:vAlign w:val="center"/>
          </w:tcPr>
          <w:p w14:paraId="62912AC2" w14:textId="77777777" w:rsidR="001F1C78" w:rsidRPr="006E198E" w:rsidRDefault="006E198E" w:rsidP="001F1C78">
            <w:pPr>
              <w:jc w:val="center"/>
              <w:rPr>
                <w:rFonts w:asciiTheme="minorHAnsi" w:hAnsiTheme="minorHAnsi" w:cs="Arial"/>
                <w:sz w:val="18"/>
                <w:szCs w:val="18"/>
              </w:rPr>
            </w:pPr>
            <w:r w:rsidRPr="006E198E">
              <w:rPr>
                <w:rFonts w:asciiTheme="minorHAnsi" w:hAnsiTheme="minorHAnsi" w:cs="Arial"/>
                <w:sz w:val="18"/>
                <w:szCs w:val="18"/>
              </w:rPr>
              <w:t>913</w:t>
            </w:r>
          </w:p>
        </w:tc>
        <w:tc>
          <w:tcPr>
            <w:tcW w:w="1134" w:type="dxa"/>
            <w:tcBorders>
              <w:top w:val="single" w:sz="12" w:space="0" w:color="auto"/>
              <w:left w:val="nil"/>
              <w:bottom w:val="single" w:sz="8" w:space="0" w:color="auto"/>
              <w:right w:val="single" w:sz="8" w:space="0" w:color="auto"/>
            </w:tcBorders>
            <w:shd w:val="clear" w:color="auto" w:fill="D9D9D9"/>
            <w:vAlign w:val="center"/>
          </w:tcPr>
          <w:p w14:paraId="76224B9C" w14:textId="59238842" w:rsidR="001F1C78" w:rsidRPr="004D6779" w:rsidRDefault="00653BC2" w:rsidP="001F1C78">
            <w:pPr>
              <w:jc w:val="center"/>
              <w:rPr>
                <w:rFonts w:asciiTheme="minorHAnsi" w:hAnsiTheme="minorHAnsi" w:cs="Arial"/>
                <w:b/>
                <w:sz w:val="18"/>
                <w:szCs w:val="18"/>
              </w:rPr>
            </w:pPr>
            <w:r>
              <w:rPr>
                <w:rFonts w:asciiTheme="minorHAnsi" w:hAnsiTheme="minorHAnsi" w:cs="Arial"/>
                <w:b/>
                <w:sz w:val="18"/>
                <w:szCs w:val="18"/>
              </w:rPr>
              <w:t>869</w:t>
            </w:r>
          </w:p>
        </w:tc>
      </w:tr>
    </w:tbl>
    <w:p w14:paraId="63D772CB" w14:textId="77777777" w:rsidR="001F1C78" w:rsidRPr="00C05C75" w:rsidRDefault="001F1C78" w:rsidP="001F1C78">
      <w:pPr>
        <w:pStyle w:val="Zkladntext"/>
        <w:spacing w:after="120"/>
        <w:rPr>
          <w:rFonts w:asciiTheme="minorHAnsi" w:hAnsiTheme="minorHAnsi" w:cs="Arial"/>
          <w:sz w:val="20"/>
          <w:szCs w:val="20"/>
        </w:rPr>
      </w:pPr>
    </w:p>
    <w:p w14:paraId="5B5BCA55" w14:textId="77777777" w:rsidR="00B7787C" w:rsidRDefault="00B7787C" w:rsidP="008A42ED">
      <w:pPr>
        <w:pStyle w:val="Zkladntext"/>
        <w:numPr>
          <w:ilvl w:val="0"/>
          <w:numId w:val="2"/>
        </w:numPr>
        <w:spacing w:after="120"/>
        <w:ind w:left="284" w:hanging="284"/>
        <w:rPr>
          <w:rFonts w:asciiTheme="minorHAnsi" w:hAnsiTheme="minorHAnsi" w:cs="Arial"/>
          <w:sz w:val="20"/>
          <w:szCs w:val="20"/>
        </w:rPr>
      </w:pPr>
      <w:r w:rsidRPr="00374A6A">
        <w:rPr>
          <w:rFonts w:asciiTheme="minorHAnsi" w:hAnsiTheme="minorHAnsi" w:cs="Arial"/>
          <w:sz w:val="20"/>
          <w:szCs w:val="20"/>
        </w:rPr>
        <w:t>Vědecko-technologický park Ostrava</w:t>
      </w:r>
      <w:r w:rsidR="00C41A92">
        <w:rPr>
          <w:rFonts w:asciiTheme="minorHAnsi" w:hAnsiTheme="minorHAnsi" w:cs="Arial"/>
          <w:sz w:val="20"/>
          <w:szCs w:val="20"/>
        </w:rPr>
        <w:t xml:space="preserve"> </w:t>
      </w:r>
      <w:r w:rsidR="00D36C60" w:rsidRPr="00374A6A">
        <w:rPr>
          <w:rFonts w:asciiTheme="minorHAnsi" w:hAnsiTheme="minorHAnsi" w:cs="Arial"/>
          <w:sz w:val="20"/>
          <w:szCs w:val="20"/>
        </w:rPr>
        <w:t xml:space="preserve">o rozloze cca 10 ha v Ostravě - </w:t>
      </w:r>
      <w:proofErr w:type="spellStart"/>
      <w:r w:rsidR="00D36C60" w:rsidRPr="00374A6A">
        <w:rPr>
          <w:rFonts w:asciiTheme="minorHAnsi" w:hAnsiTheme="minorHAnsi" w:cs="Arial"/>
          <w:sz w:val="20"/>
          <w:szCs w:val="20"/>
        </w:rPr>
        <w:t>Pustkovci</w:t>
      </w:r>
      <w:proofErr w:type="spellEnd"/>
      <w:r w:rsidR="00D36C60" w:rsidRPr="00374A6A">
        <w:rPr>
          <w:rFonts w:asciiTheme="minorHAnsi" w:hAnsiTheme="minorHAnsi" w:cs="Arial"/>
          <w:sz w:val="20"/>
          <w:szCs w:val="20"/>
        </w:rPr>
        <w:t xml:space="preserve"> </w:t>
      </w:r>
      <w:r w:rsidR="00C2748B" w:rsidRPr="00374A6A">
        <w:rPr>
          <w:rFonts w:asciiTheme="minorHAnsi" w:hAnsiTheme="minorHAnsi" w:cs="Arial"/>
          <w:sz w:val="20"/>
          <w:szCs w:val="20"/>
        </w:rPr>
        <w:t xml:space="preserve">byl založen v roce </w:t>
      </w:r>
      <w:r w:rsidRPr="00374A6A">
        <w:rPr>
          <w:rFonts w:asciiTheme="minorHAnsi" w:hAnsiTheme="minorHAnsi" w:cs="Arial"/>
          <w:sz w:val="20"/>
          <w:szCs w:val="20"/>
        </w:rPr>
        <w:t xml:space="preserve">1997 </w:t>
      </w:r>
      <w:r w:rsidR="00C2748B" w:rsidRPr="00374A6A">
        <w:rPr>
          <w:rFonts w:asciiTheme="minorHAnsi" w:hAnsiTheme="minorHAnsi" w:cs="Arial"/>
          <w:sz w:val="20"/>
          <w:szCs w:val="20"/>
        </w:rPr>
        <w:t>s cílem vytvořit prostor pro vědecký a technologický výzkum</w:t>
      </w:r>
      <w:r w:rsidR="00D17308" w:rsidRPr="00374A6A">
        <w:rPr>
          <w:rFonts w:asciiTheme="minorHAnsi" w:hAnsiTheme="minorHAnsi" w:cs="Arial"/>
          <w:sz w:val="20"/>
          <w:szCs w:val="20"/>
        </w:rPr>
        <w:t xml:space="preserve">, inovace a </w:t>
      </w:r>
      <w:proofErr w:type="spellStart"/>
      <w:r w:rsidR="00D17308" w:rsidRPr="00374A6A">
        <w:rPr>
          <w:rFonts w:asciiTheme="minorHAnsi" w:hAnsiTheme="minorHAnsi" w:cs="Arial"/>
          <w:sz w:val="20"/>
          <w:szCs w:val="20"/>
        </w:rPr>
        <w:t>hi</w:t>
      </w:r>
      <w:proofErr w:type="spellEnd"/>
      <w:r w:rsidR="00D17308" w:rsidRPr="00374A6A">
        <w:rPr>
          <w:rFonts w:asciiTheme="minorHAnsi" w:hAnsiTheme="minorHAnsi" w:cs="Arial"/>
          <w:sz w:val="20"/>
          <w:szCs w:val="20"/>
        </w:rPr>
        <w:t>-tech technologie</w:t>
      </w:r>
      <w:r w:rsidR="00961806" w:rsidRPr="00374A6A">
        <w:rPr>
          <w:rFonts w:asciiTheme="minorHAnsi" w:hAnsiTheme="minorHAnsi" w:cs="Arial"/>
          <w:sz w:val="20"/>
          <w:szCs w:val="20"/>
        </w:rPr>
        <w:t xml:space="preserve"> s</w:t>
      </w:r>
      <w:r w:rsidR="00D17308" w:rsidRPr="00374A6A">
        <w:rPr>
          <w:rFonts w:asciiTheme="minorHAnsi" w:hAnsiTheme="minorHAnsi" w:cs="Arial"/>
          <w:sz w:val="20"/>
          <w:szCs w:val="20"/>
        </w:rPr>
        <w:t xml:space="preserve"> úzkou </w:t>
      </w:r>
      <w:r w:rsidR="00961806" w:rsidRPr="00374A6A">
        <w:rPr>
          <w:rFonts w:asciiTheme="minorHAnsi" w:hAnsiTheme="minorHAnsi" w:cs="Arial"/>
          <w:sz w:val="20"/>
          <w:szCs w:val="20"/>
        </w:rPr>
        <w:t>v</w:t>
      </w:r>
      <w:r w:rsidR="00D17308" w:rsidRPr="00374A6A">
        <w:rPr>
          <w:rFonts w:asciiTheme="minorHAnsi" w:hAnsiTheme="minorHAnsi" w:cs="Arial"/>
          <w:sz w:val="20"/>
          <w:szCs w:val="20"/>
        </w:rPr>
        <w:t>azb</w:t>
      </w:r>
      <w:r w:rsidR="00961806" w:rsidRPr="00374A6A">
        <w:rPr>
          <w:rFonts w:asciiTheme="minorHAnsi" w:hAnsiTheme="minorHAnsi" w:cs="Arial"/>
          <w:sz w:val="20"/>
          <w:szCs w:val="20"/>
        </w:rPr>
        <w:t>ou</w:t>
      </w:r>
      <w:r w:rsidR="00D17308" w:rsidRPr="00374A6A">
        <w:rPr>
          <w:rFonts w:asciiTheme="minorHAnsi" w:hAnsiTheme="minorHAnsi" w:cs="Arial"/>
          <w:sz w:val="20"/>
          <w:szCs w:val="20"/>
        </w:rPr>
        <w:t xml:space="preserve"> na univerzitní sféru</w:t>
      </w:r>
      <w:r w:rsidR="00961806" w:rsidRPr="00374A6A">
        <w:rPr>
          <w:rFonts w:asciiTheme="minorHAnsi" w:hAnsiTheme="minorHAnsi" w:cs="Arial"/>
          <w:sz w:val="20"/>
          <w:szCs w:val="20"/>
        </w:rPr>
        <w:t xml:space="preserve">, kterou </w:t>
      </w:r>
      <w:r w:rsidR="00D17308" w:rsidRPr="00374A6A">
        <w:rPr>
          <w:rFonts w:asciiTheme="minorHAnsi" w:hAnsiTheme="minorHAnsi" w:cs="Arial"/>
          <w:sz w:val="20"/>
          <w:szCs w:val="20"/>
        </w:rPr>
        <w:t xml:space="preserve">zajišťuje </w:t>
      </w:r>
      <w:r w:rsidR="00961806" w:rsidRPr="00374A6A">
        <w:rPr>
          <w:rFonts w:asciiTheme="minorHAnsi" w:hAnsiTheme="minorHAnsi" w:cs="Arial"/>
          <w:sz w:val="20"/>
          <w:szCs w:val="20"/>
        </w:rPr>
        <w:t xml:space="preserve">vybraná lokalita v bezprostřední </w:t>
      </w:r>
      <w:r w:rsidR="00D17308" w:rsidRPr="00374A6A">
        <w:rPr>
          <w:rFonts w:asciiTheme="minorHAnsi" w:hAnsiTheme="minorHAnsi" w:cs="Arial"/>
          <w:sz w:val="20"/>
          <w:szCs w:val="20"/>
        </w:rPr>
        <w:t>blízkost</w:t>
      </w:r>
      <w:r w:rsidR="00961806" w:rsidRPr="00374A6A">
        <w:rPr>
          <w:rFonts w:asciiTheme="minorHAnsi" w:hAnsiTheme="minorHAnsi" w:cs="Arial"/>
          <w:sz w:val="20"/>
          <w:szCs w:val="20"/>
        </w:rPr>
        <w:t>i</w:t>
      </w:r>
      <w:r w:rsidR="00D17308" w:rsidRPr="00374A6A">
        <w:rPr>
          <w:rFonts w:asciiTheme="minorHAnsi" w:hAnsiTheme="minorHAnsi" w:cs="Arial"/>
          <w:sz w:val="20"/>
          <w:szCs w:val="20"/>
        </w:rPr>
        <w:t xml:space="preserve"> Vysoké školy báňské</w:t>
      </w:r>
      <w:r w:rsidR="006F03FD">
        <w:rPr>
          <w:rFonts w:asciiTheme="minorHAnsi" w:hAnsiTheme="minorHAnsi" w:cs="Arial"/>
          <w:sz w:val="20"/>
          <w:szCs w:val="20"/>
        </w:rPr>
        <w:t>.</w:t>
      </w:r>
      <w:r w:rsidR="008262CC" w:rsidRPr="00374A6A">
        <w:rPr>
          <w:rFonts w:asciiTheme="minorHAnsi" w:hAnsiTheme="minorHAnsi" w:cs="Arial"/>
          <w:sz w:val="20"/>
          <w:szCs w:val="20"/>
        </w:rPr>
        <w:t xml:space="preserve"> </w:t>
      </w:r>
    </w:p>
    <w:p w14:paraId="6B6E10FE" w14:textId="349DB12F" w:rsidR="0046743A" w:rsidRDefault="0046743A" w:rsidP="001D73F5">
      <w:pPr>
        <w:pStyle w:val="Zkladntext"/>
        <w:numPr>
          <w:ilvl w:val="0"/>
          <w:numId w:val="2"/>
        </w:numPr>
        <w:spacing w:after="120"/>
        <w:ind w:left="284" w:hanging="284"/>
        <w:rPr>
          <w:rFonts w:asciiTheme="minorHAnsi" w:hAnsiTheme="minorHAnsi" w:cs="Arial"/>
          <w:sz w:val="20"/>
          <w:szCs w:val="20"/>
        </w:rPr>
      </w:pPr>
      <w:r w:rsidRPr="0046743A">
        <w:rPr>
          <w:rFonts w:asciiTheme="minorHAnsi" w:hAnsiTheme="minorHAnsi" w:cs="Arial"/>
          <w:sz w:val="20"/>
          <w:szCs w:val="20"/>
        </w:rPr>
        <w:t>vědecko-technologický park je tvořen multifunkčními budovami PIANO (I), TANDEM (II), TRIDENT (III) a VIVA (IV), které tvoří technické a administrativní zázemí areálu a jejichž obsazenost byla k </w:t>
      </w:r>
      <w:r w:rsidR="001D46A1">
        <w:rPr>
          <w:rFonts w:asciiTheme="minorHAnsi" w:hAnsiTheme="minorHAnsi" w:cs="Arial"/>
          <w:sz w:val="20"/>
          <w:szCs w:val="20"/>
        </w:rPr>
        <w:t>31</w:t>
      </w:r>
      <w:r w:rsidRPr="0046743A">
        <w:rPr>
          <w:rFonts w:asciiTheme="minorHAnsi" w:hAnsiTheme="minorHAnsi" w:cs="Arial"/>
          <w:sz w:val="20"/>
          <w:szCs w:val="20"/>
        </w:rPr>
        <w:t xml:space="preserve">. </w:t>
      </w:r>
      <w:r w:rsidR="001D46A1">
        <w:rPr>
          <w:rFonts w:asciiTheme="minorHAnsi" w:hAnsiTheme="minorHAnsi" w:cs="Arial"/>
          <w:sz w:val="20"/>
          <w:szCs w:val="20"/>
        </w:rPr>
        <w:t>12</w:t>
      </w:r>
      <w:r w:rsidRPr="0046743A">
        <w:rPr>
          <w:rFonts w:asciiTheme="minorHAnsi" w:hAnsiTheme="minorHAnsi" w:cs="Arial"/>
          <w:sz w:val="20"/>
          <w:szCs w:val="20"/>
        </w:rPr>
        <w:t>. 20</w:t>
      </w:r>
      <w:r w:rsidR="00575B0E">
        <w:rPr>
          <w:rFonts w:asciiTheme="minorHAnsi" w:hAnsiTheme="minorHAnsi" w:cs="Arial"/>
          <w:sz w:val="20"/>
          <w:szCs w:val="20"/>
        </w:rPr>
        <w:t>20</w:t>
      </w:r>
      <w:r w:rsidRPr="0046743A">
        <w:rPr>
          <w:rFonts w:asciiTheme="minorHAnsi" w:hAnsiTheme="minorHAnsi" w:cs="Arial"/>
          <w:sz w:val="20"/>
          <w:szCs w:val="20"/>
        </w:rPr>
        <w:t xml:space="preserve"> následující</w:t>
      </w:r>
      <w:r w:rsidRPr="00041912">
        <w:rPr>
          <w:rFonts w:asciiTheme="minorHAnsi" w:hAnsiTheme="minorHAnsi" w:cs="Arial"/>
          <w:sz w:val="20"/>
          <w:szCs w:val="20"/>
        </w:rPr>
        <w:t xml:space="preserve">: Piano – </w:t>
      </w:r>
      <w:r w:rsidR="0037582D">
        <w:rPr>
          <w:rFonts w:asciiTheme="minorHAnsi" w:hAnsiTheme="minorHAnsi" w:cs="Arial"/>
          <w:sz w:val="20"/>
          <w:szCs w:val="20"/>
        </w:rPr>
        <w:br/>
      </w:r>
      <w:r w:rsidRPr="0037582D">
        <w:rPr>
          <w:rFonts w:asciiTheme="minorHAnsi" w:hAnsiTheme="minorHAnsi" w:cs="Arial"/>
          <w:sz w:val="20"/>
          <w:szCs w:val="20"/>
        </w:rPr>
        <w:t>9</w:t>
      </w:r>
      <w:r w:rsidR="0037582D" w:rsidRPr="0037582D">
        <w:rPr>
          <w:rFonts w:asciiTheme="minorHAnsi" w:hAnsiTheme="minorHAnsi" w:cs="Arial"/>
          <w:sz w:val="20"/>
          <w:szCs w:val="20"/>
        </w:rPr>
        <w:t>3</w:t>
      </w:r>
      <w:r w:rsidRPr="00041912">
        <w:rPr>
          <w:rFonts w:asciiTheme="minorHAnsi" w:hAnsiTheme="minorHAnsi" w:cs="Arial"/>
          <w:sz w:val="20"/>
          <w:szCs w:val="20"/>
        </w:rPr>
        <w:t xml:space="preserve"> %, Tandem – </w:t>
      </w:r>
      <w:r w:rsidR="0037582D" w:rsidRPr="0037582D">
        <w:rPr>
          <w:rFonts w:asciiTheme="minorHAnsi" w:hAnsiTheme="minorHAnsi" w:cs="Arial"/>
          <w:sz w:val="20"/>
          <w:szCs w:val="20"/>
        </w:rPr>
        <w:t>85</w:t>
      </w:r>
      <w:r w:rsidRPr="0037582D">
        <w:rPr>
          <w:rFonts w:asciiTheme="minorHAnsi" w:hAnsiTheme="minorHAnsi" w:cs="Arial"/>
          <w:sz w:val="20"/>
          <w:szCs w:val="20"/>
        </w:rPr>
        <w:t xml:space="preserve"> </w:t>
      </w:r>
      <w:r w:rsidRPr="00041912">
        <w:rPr>
          <w:rFonts w:asciiTheme="minorHAnsi" w:hAnsiTheme="minorHAnsi" w:cs="Arial"/>
          <w:sz w:val="20"/>
          <w:szCs w:val="20"/>
        </w:rPr>
        <w:t>%</w:t>
      </w:r>
      <w:r w:rsidR="001D73F5">
        <w:rPr>
          <w:rFonts w:asciiTheme="minorHAnsi" w:hAnsiTheme="minorHAnsi" w:cs="Arial"/>
          <w:sz w:val="20"/>
          <w:szCs w:val="20"/>
        </w:rPr>
        <w:t xml:space="preserve"> (včetně sdílených dílen a laboratoří Idea Hub a COBOTI)</w:t>
      </w:r>
      <w:r w:rsidRPr="00041912">
        <w:rPr>
          <w:rFonts w:asciiTheme="minorHAnsi" w:hAnsiTheme="minorHAnsi" w:cs="Arial"/>
          <w:sz w:val="20"/>
          <w:szCs w:val="20"/>
        </w:rPr>
        <w:t xml:space="preserve">, </w:t>
      </w:r>
      <w:proofErr w:type="spellStart"/>
      <w:r w:rsidRPr="00041912">
        <w:rPr>
          <w:rFonts w:asciiTheme="minorHAnsi" w:hAnsiTheme="minorHAnsi" w:cs="Arial"/>
          <w:sz w:val="20"/>
          <w:szCs w:val="20"/>
        </w:rPr>
        <w:t>Viva</w:t>
      </w:r>
      <w:proofErr w:type="spellEnd"/>
      <w:r w:rsidRPr="00041912">
        <w:rPr>
          <w:rFonts w:asciiTheme="minorHAnsi" w:hAnsiTheme="minorHAnsi" w:cs="Arial"/>
          <w:sz w:val="20"/>
          <w:szCs w:val="20"/>
        </w:rPr>
        <w:t xml:space="preserve"> – </w:t>
      </w:r>
      <w:r w:rsidR="0037582D" w:rsidRPr="0037582D">
        <w:rPr>
          <w:rFonts w:asciiTheme="minorHAnsi" w:hAnsiTheme="minorHAnsi" w:cs="Arial"/>
          <w:sz w:val="20"/>
          <w:szCs w:val="20"/>
        </w:rPr>
        <w:t>99</w:t>
      </w:r>
      <w:r w:rsidRPr="00041912">
        <w:rPr>
          <w:rFonts w:asciiTheme="minorHAnsi" w:hAnsiTheme="minorHAnsi" w:cs="Arial"/>
          <w:sz w:val="20"/>
          <w:szCs w:val="20"/>
        </w:rPr>
        <w:t xml:space="preserve"> % a Trident – </w:t>
      </w:r>
      <w:r w:rsidR="0037582D" w:rsidRPr="0037582D">
        <w:rPr>
          <w:rFonts w:asciiTheme="minorHAnsi" w:hAnsiTheme="minorHAnsi" w:cs="Arial"/>
          <w:sz w:val="20"/>
          <w:szCs w:val="20"/>
        </w:rPr>
        <w:t>97</w:t>
      </w:r>
      <w:r w:rsidRPr="00041912">
        <w:rPr>
          <w:rFonts w:asciiTheme="minorHAnsi" w:hAnsiTheme="minorHAnsi" w:cs="Arial"/>
          <w:sz w:val="20"/>
          <w:szCs w:val="20"/>
        </w:rPr>
        <w:t xml:space="preserve"> %; </w:t>
      </w:r>
      <w:r w:rsidR="001D73F5">
        <w:rPr>
          <w:rFonts w:asciiTheme="minorHAnsi" w:hAnsiTheme="minorHAnsi" w:cs="Arial"/>
          <w:sz w:val="20"/>
          <w:szCs w:val="20"/>
        </w:rPr>
        <w:br/>
      </w:r>
      <w:r w:rsidRPr="00041912">
        <w:rPr>
          <w:rFonts w:asciiTheme="minorHAnsi" w:hAnsiTheme="minorHAnsi" w:cs="Arial"/>
          <w:sz w:val="20"/>
          <w:szCs w:val="20"/>
        </w:rPr>
        <w:t xml:space="preserve">ke stejnému datu bylo v budovách zasídleno </w:t>
      </w:r>
      <w:r w:rsidR="0037582D">
        <w:rPr>
          <w:rFonts w:asciiTheme="minorHAnsi" w:hAnsiTheme="minorHAnsi" w:cs="Arial"/>
          <w:sz w:val="20"/>
          <w:szCs w:val="20"/>
        </w:rPr>
        <w:t>69</w:t>
      </w:r>
      <w:r w:rsidRPr="00041912">
        <w:rPr>
          <w:rFonts w:asciiTheme="minorHAnsi" w:hAnsiTheme="minorHAnsi" w:cs="Arial"/>
          <w:sz w:val="20"/>
          <w:szCs w:val="20"/>
        </w:rPr>
        <w:t xml:space="preserve"> firem s </w:t>
      </w:r>
      <w:r w:rsidR="00041912" w:rsidRPr="0037582D">
        <w:rPr>
          <w:rFonts w:asciiTheme="minorHAnsi" w:hAnsiTheme="minorHAnsi" w:cs="Arial"/>
          <w:sz w:val="20"/>
          <w:szCs w:val="20"/>
        </w:rPr>
        <w:t>8</w:t>
      </w:r>
      <w:r w:rsidR="0037582D" w:rsidRPr="0037582D">
        <w:rPr>
          <w:rFonts w:asciiTheme="minorHAnsi" w:hAnsiTheme="minorHAnsi" w:cs="Arial"/>
          <w:sz w:val="20"/>
          <w:szCs w:val="20"/>
        </w:rPr>
        <w:t>69</w:t>
      </w:r>
      <w:r w:rsidRPr="00041912">
        <w:rPr>
          <w:rFonts w:asciiTheme="minorHAnsi" w:hAnsiTheme="minorHAnsi" w:cs="Arial"/>
          <w:sz w:val="20"/>
          <w:szCs w:val="20"/>
        </w:rPr>
        <w:t xml:space="preserve"> </w:t>
      </w:r>
      <w:r w:rsidRPr="0046743A">
        <w:rPr>
          <w:rFonts w:asciiTheme="minorHAnsi" w:hAnsiTheme="minorHAnsi" w:cs="Arial"/>
          <w:sz w:val="20"/>
          <w:szCs w:val="20"/>
        </w:rPr>
        <w:t xml:space="preserve">zaměstnanci. </w:t>
      </w:r>
      <w:r w:rsidR="001D46A1">
        <w:rPr>
          <w:rFonts w:asciiTheme="minorHAnsi" w:hAnsiTheme="minorHAnsi" w:cs="Arial"/>
          <w:sz w:val="20"/>
          <w:szCs w:val="20"/>
        </w:rPr>
        <w:t xml:space="preserve">V areálu VT parku </w:t>
      </w:r>
      <w:r w:rsidR="000713A9">
        <w:rPr>
          <w:rFonts w:asciiTheme="minorHAnsi" w:hAnsiTheme="minorHAnsi" w:cs="Arial"/>
          <w:sz w:val="20"/>
          <w:szCs w:val="20"/>
        </w:rPr>
        <w:t>se dále nacházejí</w:t>
      </w:r>
      <w:r w:rsidR="001D46A1">
        <w:rPr>
          <w:rFonts w:asciiTheme="minorHAnsi" w:hAnsiTheme="minorHAnsi" w:cs="Arial"/>
          <w:sz w:val="20"/>
          <w:szCs w:val="20"/>
        </w:rPr>
        <w:t xml:space="preserve"> komerční společnosti Ingeteam a. s., ELCOM, a. s., VAE </w:t>
      </w:r>
      <w:proofErr w:type="spellStart"/>
      <w:r w:rsidR="001D46A1">
        <w:rPr>
          <w:rFonts w:asciiTheme="minorHAnsi" w:hAnsiTheme="minorHAnsi" w:cs="Arial"/>
          <w:sz w:val="20"/>
          <w:szCs w:val="20"/>
        </w:rPr>
        <w:t>Prosys</w:t>
      </w:r>
      <w:proofErr w:type="spellEnd"/>
      <w:r w:rsidR="001D46A1">
        <w:rPr>
          <w:rFonts w:asciiTheme="minorHAnsi" w:hAnsiTheme="minorHAnsi" w:cs="Arial"/>
          <w:sz w:val="20"/>
          <w:szCs w:val="20"/>
        </w:rPr>
        <w:t xml:space="preserve"> s. r. o. a Elektro MAR a. s., které </w:t>
      </w:r>
      <w:r w:rsidR="000713A9">
        <w:rPr>
          <w:rFonts w:asciiTheme="minorHAnsi" w:hAnsiTheme="minorHAnsi" w:cs="Arial"/>
          <w:sz w:val="20"/>
          <w:szCs w:val="20"/>
        </w:rPr>
        <w:t>k 31. 12. 2020</w:t>
      </w:r>
      <w:r w:rsidR="001D46A1">
        <w:rPr>
          <w:rFonts w:asciiTheme="minorHAnsi" w:hAnsiTheme="minorHAnsi" w:cs="Arial"/>
          <w:sz w:val="20"/>
          <w:szCs w:val="20"/>
        </w:rPr>
        <w:t xml:space="preserve"> evidovaly 234 pracovních míst. </w:t>
      </w:r>
    </w:p>
    <w:p w14:paraId="788ED29C" w14:textId="086BB770" w:rsidR="00F10DA4" w:rsidRPr="00374A6A" w:rsidRDefault="00F10DA4" w:rsidP="00045996">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nejnověji umístěný investor, společnost Elektro MAR a. s., </w:t>
      </w:r>
      <w:r w:rsidR="00C43669">
        <w:rPr>
          <w:rFonts w:asciiTheme="minorHAnsi" w:hAnsiTheme="minorHAnsi" w:cs="Arial"/>
          <w:sz w:val="20"/>
          <w:szCs w:val="20"/>
        </w:rPr>
        <w:t>dokončuje výstavbu vlastního sídla a pokračuje v přípravách nového projektu výstavby „Centra transferu technologií“</w:t>
      </w:r>
      <w:r w:rsidR="008F59DC">
        <w:rPr>
          <w:rFonts w:asciiTheme="minorHAnsi" w:hAnsiTheme="minorHAnsi" w:cs="Arial"/>
          <w:sz w:val="20"/>
          <w:szCs w:val="20"/>
        </w:rPr>
        <w:t xml:space="preserve">. </w:t>
      </w:r>
      <w:r w:rsidR="00C43669">
        <w:rPr>
          <w:rFonts w:asciiTheme="minorHAnsi" w:hAnsiTheme="minorHAnsi" w:cs="Arial"/>
          <w:sz w:val="20"/>
          <w:szCs w:val="20"/>
        </w:rPr>
        <w:t xml:space="preserve">Společnost nadále rozvíjí aktivity v průmyslovém vývoji, v oblasti přenosu dat v energetice, strojovém vidění a robotizaci. </w:t>
      </w:r>
      <w:r w:rsidR="00732AFD">
        <w:rPr>
          <w:rFonts w:asciiTheme="minorHAnsi" w:hAnsiTheme="minorHAnsi" w:cs="Arial"/>
          <w:sz w:val="20"/>
          <w:szCs w:val="20"/>
        </w:rPr>
        <w:t xml:space="preserve">S ohledem na probíhající situaci a snižování objemů investic v průmyslu se společnost soustředí na zvyšování inovací při řešení nestandardních úloh, což se pozitivně promítá do hospodářských výsledků. </w:t>
      </w:r>
    </w:p>
    <w:p w14:paraId="1A32B212" w14:textId="5843948E" w:rsidR="0046743A" w:rsidRPr="00B25755" w:rsidRDefault="00C90EBA" w:rsidP="000622E9">
      <w:pPr>
        <w:pStyle w:val="Zkladntext"/>
        <w:numPr>
          <w:ilvl w:val="0"/>
          <w:numId w:val="2"/>
        </w:numPr>
        <w:spacing w:after="120"/>
        <w:ind w:left="284" w:hanging="284"/>
        <w:rPr>
          <w:rFonts w:asciiTheme="minorHAnsi" w:hAnsiTheme="minorHAnsi" w:cs="Arial"/>
          <w:sz w:val="20"/>
          <w:szCs w:val="20"/>
        </w:rPr>
      </w:pPr>
      <w:r w:rsidRPr="0046743A">
        <w:rPr>
          <w:rFonts w:asciiTheme="minorHAnsi" w:hAnsiTheme="minorHAnsi" w:cs="Arial"/>
          <w:sz w:val="20"/>
          <w:szCs w:val="20"/>
        </w:rPr>
        <w:t xml:space="preserve">od 07/2017 působí v lokalitě společnost </w:t>
      </w:r>
      <w:r w:rsidRPr="00795A85">
        <w:rPr>
          <w:rFonts w:asciiTheme="minorHAnsi" w:hAnsiTheme="minorHAnsi" w:cs="Arial"/>
          <w:b/>
          <w:sz w:val="20"/>
          <w:szCs w:val="20"/>
        </w:rPr>
        <w:t>Moravskoslezské inovační centrum Ostrava, a. s.</w:t>
      </w:r>
      <w:r w:rsidRPr="0046743A">
        <w:rPr>
          <w:rFonts w:asciiTheme="minorHAnsi" w:hAnsiTheme="minorHAnsi" w:cs="Arial"/>
          <w:sz w:val="20"/>
          <w:szCs w:val="20"/>
        </w:rPr>
        <w:t xml:space="preserve"> (dále jen MSIC)</w:t>
      </w:r>
      <w:r w:rsidR="0080003C" w:rsidRPr="0046743A">
        <w:rPr>
          <w:rFonts w:asciiTheme="minorHAnsi" w:hAnsiTheme="minorHAnsi" w:cs="Arial"/>
          <w:sz w:val="20"/>
          <w:szCs w:val="20"/>
        </w:rPr>
        <w:t xml:space="preserve"> </w:t>
      </w:r>
      <w:r w:rsidRPr="0046743A">
        <w:rPr>
          <w:rFonts w:asciiTheme="minorHAnsi" w:hAnsiTheme="minorHAnsi" w:cs="Arial"/>
          <w:sz w:val="20"/>
          <w:szCs w:val="20"/>
        </w:rPr>
        <w:t xml:space="preserve">transformovaná z původního Vědeckotechnologického parku </w:t>
      </w:r>
      <w:r w:rsidR="001C5F92" w:rsidRPr="0046743A">
        <w:rPr>
          <w:rFonts w:asciiTheme="minorHAnsi" w:hAnsiTheme="minorHAnsi" w:cs="Arial"/>
          <w:sz w:val="20"/>
          <w:szCs w:val="20"/>
        </w:rPr>
        <w:t xml:space="preserve">Ostrava, a. s., jejímž </w:t>
      </w:r>
      <w:r w:rsidR="0046743A">
        <w:rPr>
          <w:rFonts w:asciiTheme="minorHAnsi" w:hAnsiTheme="minorHAnsi" w:cs="Arial"/>
          <w:sz w:val="20"/>
          <w:szCs w:val="20"/>
        </w:rPr>
        <w:t xml:space="preserve">posláním je rozvoj inovačního ekosystému spočívající v poskytování služeb, které vykonává v tzv. režimu závazku veřejné služby a ze strany hlavních akcionářů </w:t>
      </w:r>
      <w:r w:rsidR="000622E9">
        <w:rPr>
          <w:rFonts w:asciiTheme="minorHAnsi" w:hAnsiTheme="minorHAnsi" w:cs="Arial"/>
          <w:sz w:val="20"/>
          <w:szCs w:val="20"/>
        </w:rPr>
        <w:t xml:space="preserve">(Moravskoslezský kraj a statutární město Ostrava s podíly 45%) </w:t>
      </w:r>
      <w:r w:rsidR="0046743A">
        <w:rPr>
          <w:rFonts w:asciiTheme="minorHAnsi" w:hAnsiTheme="minorHAnsi" w:cs="Arial"/>
          <w:sz w:val="20"/>
          <w:szCs w:val="20"/>
        </w:rPr>
        <w:t xml:space="preserve">je mu </w:t>
      </w:r>
      <w:r w:rsidR="003E5D82">
        <w:rPr>
          <w:rFonts w:asciiTheme="minorHAnsi" w:hAnsiTheme="minorHAnsi" w:cs="Arial"/>
          <w:sz w:val="20"/>
          <w:szCs w:val="20"/>
        </w:rPr>
        <w:t xml:space="preserve">na tyto služby </w:t>
      </w:r>
      <w:r w:rsidR="0046743A">
        <w:rPr>
          <w:rFonts w:asciiTheme="minorHAnsi" w:hAnsiTheme="minorHAnsi" w:cs="Arial"/>
          <w:sz w:val="20"/>
          <w:szCs w:val="20"/>
        </w:rPr>
        <w:t>poskytována vyrovnávací platba</w:t>
      </w:r>
      <w:r w:rsidR="0012720E">
        <w:rPr>
          <w:rFonts w:asciiTheme="minorHAnsi" w:hAnsiTheme="minorHAnsi" w:cs="Arial"/>
          <w:sz w:val="20"/>
          <w:szCs w:val="20"/>
        </w:rPr>
        <w:t xml:space="preserve"> na základě Smlouvy o poskytnutí vyrovnávací platby za poskytování služeb v obecném hospodářském zájmu ze dne 23. 4. 2018</w:t>
      </w:r>
      <w:r w:rsidR="0046743A">
        <w:rPr>
          <w:rFonts w:asciiTheme="minorHAnsi" w:hAnsiTheme="minorHAnsi" w:cs="Arial"/>
          <w:sz w:val="20"/>
          <w:szCs w:val="20"/>
        </w:rPr>
        <w:t xml:space="preserve">. </w:t>
      </w:r>
      <w:r w:rsidR="0046743A" w:rsidRPr="00B25755">
        <w:rPr>
          <w:rFonts w:asciiTheme="minorHAnsi" w:hAnsiTheme="minorHAnsi" w:cs="Arial"/>
          <w:sz w:val="20"/>
          <w:szCs w:val="20"/>
        </w:rPr>
        <w:t>Podrobný popis činnost</w:t>
      </w:r>
      <w:r w:rsidR="00517356">
        <w:rPr>
          <w:rFonts w:asciiTheme="minorHAnsi" w:hAnsiTheme="minorHAnsi" w:cs="Arial"/>
          <w:sz w:val="20"/>
          <w:szCs w:val="20"/>
        </w:rPr>
        <w:t>í</w:t>
      </w:r>
      <w:r w:rsidR="0046743A" w:rsidRPr="00B25755">
        <w:rPr>
          <w:rFonts w:asciiTheme="minorHAnsi" w:hAnsiTheme="minorHAnsi" w:cs="Arial"/>
          <w:sz w:val="20"/>
          <w:szCs w:val="20"/>
        </w:rPr>
        <w:t xml:space="preserve"> MSIC za sledované období je samostatnou přílohou materiálu</w:t>
      </w:r>
      <w:r w:rsidR="00B25755">
        <w:rPr>
          <w:rFonts w:asciiTheme="minorHAnsi" w:hAnsiTheme="minorHAnsi" w:cs="Arial"/>
          <w:sz w:val="20"/>
          <w:szCs w:val="20"/>
        </w:rPr>
        <w:t xml:space="preserve"> (Příloha č. </w:t>
      </w:r>
      <w:r w:rsidR="003E5D82">
        <w:rPr>
          <w:rFonts w:asciiTheme="minorHAnsi" w:hAnsiTheme="minorHAnsi" w:cs="Arial"/>
          <w:sz w:val="20"/>
          <w:szCs w:val="20"/>
        </w:rPr>
        <w:t>3</w:t>
      </w:r>
      <w:r w:rsidR="00B25755">
        <w:rPr>
          <w:rFonts w:asciiTheme="minorHAnsi" w:hAnsiTheme="minorHAnsi" w:cs="Arial"/>
          <w:sz w:val="20"/>
          <w:szCs w:val="20"/>
        </w:rPr>
        <w:t>)</w:t>
      </w:r>
      <w:r w:rsidR="0046743A" w:rsidRPr="00B25755">
        <w:rPr>
          <w:rFonts w:asciiTheme="minorHAnsi" w:hAnsiTheme="minorHAnsi" w:cs="Arial"/>
          <w:sz w:val="20"/>
          <w:szCs w:val="20"/>
        </w:rPr>
        <w:t xml:space="preserve">. </w:t>
      </w:r>
      <w:r w:rsidR="001C5F92" w:rsidRPr="00B25755">
        <w:rPr>
          <w:rFonts w:asciiTheme="minorHAnsi" w:hAnsiTheme="minorHAnsi" w:cs="Arial"/>
          <w:sz w:val="20"/>
          <w:szCs w:val="20"/>
        </w:rPr>
        <w:t xml:space="preserve"> </w:t>
      </w:r>
    </w:p>
    <w:p w14:paraId="25E618B5" w14:textId="6444375E" w:rsidR="00D00EC5" w:rsidRDefault="0012720E" w:rsidP="008859E4">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c</w:t>
      </w:r>
      <w:r w:rsidR="00045996">
        <w:rPr>
          <w:rFonts w:asciiTheme="minorHAnsi" w:hAnsiTheme="minorHAnsi" w:cs="Arial"/>
          <w:sz w:val="20"/>
          <w:szCs w:val="20"/>
        </w:rPr>
        <w:t xml:space="preserve">elková částka vyrovnávací platby </w:t>
      </w:r>
      <w:r w:rsidR="002E00AB">
        <w:rPr>
          <w:rFonts w:asciiTheme="minorHAnsi" w:hAnsiTheme="minorHAnsi" w:cs="Arial"/>
          <w:sz w:val="20"/>
          <w:szCs w:val="20"/>
        </w:rPr>
        <w:t xml:space="preserve">SMO činí </w:t>
      </w:r>
      <w:r w:rsidR="003B153C">
        <w:rPr>
          <w:rFonts w:asciiTheme="minorHAnsi" w:hAnsiTheme="minorHAnsi" w:cs="Arial"/>
          <w:sz w:val="20"/>
          <w:szCs w:val="20"/>
        </w:rPr>
        <w:t xml:space="preserve">dle aktuálního znění smlouvy </w:t>
      </w:r>
      <w:r w:rsidR="002E00AB">
        <w:rPr>
          <w:rFonts w:asciiTheme="minorHAnsi" w:hAnsiTheme="minorHAnsi" w:cs="Arial"/>
          <w:sz w:val="20"/>
          <w:szCs w:val="20"/>
        </w:rPr>
        <w:t>41 mil. Kč a celková částka vyrovnávací platby MSK činí 45,2 mil. Kč</w:t>
      </w:r>
      <w:r w:rsidR="00C910D5">
        <w:rPr>
          <w:rFonts w:asciiTheme="minorHAnsi" w:hAnsiTheme="minorHAnsi" w:cs="Arial"/>
          <w:sz w:val="20"/>
          <w:szCs w:val="20"/>
        </w:rPr>
        <w:t>, dohromady bude MSIC v režimu výše uvedené smlouvy podpořen do 12/2021 částkou 86,2 mil. Kč</w:t>
      </w:r>
      <w:r w:rsidR="002E00AB">
        <w:rPr>
          <w:rFonts w:asciiTheme="minorHAnsi" w:hAnsiTheme="minorHAnsi" w:cs="Arial"/>
          <w:sz w:val="20"/>
          <w:szCs w:val="20"/>
        </w:rPr>
        <w:t xml:space="preserve">. </w:t>
      </w:r>
      <w:r w:rsidR="00B3494A">
        <w:rPr>
          <w:rFonts w:asciiTheme="minorHAnsi" w:hAnsiTheme="minorHAnsi" w:cs="Arial"/>
          <w:sz w:val="20"/>
          <w:szCs w:val="20"/>
        </w:rPr>
        <w:t xml:space="preserve">Poskytnutá částka v příslušném roce je vždy následující rok předložena spolu se Zprávou o činnosti MSIC ke kontrole hlavním akcionářům a po jejím schválení vyúčtována. </w:t>
      </w:r>
    </w:p>
    <w:p w14:paraId="30D3C275" w14:textId="77777777" w:rsidR="006656B7" w:rsidRDefault="0027305F" w:rsidP="00C10779">
      <w:pPr>
        <w:pStyle w:val="Zkladntext"/>
        <w:numPr>
          <w:ilvl w:val="0"/>
          <w:numId w:val="2"/>
        </w:numPr>
        <w:spacing w:after="120"/>
        <w:ind w:left="284" w:hanging="284"/>
        <w:rPr>
          <w:rFonts w:asciiTheme="minorHAnsi" w:hAnsiTheme="minorHAnsi" w:cs="Arial"/>
          <w:sz w:val="20"/>
          <w:szCs w:val="20"/>
        </w:rPr>
      </w:pPr>
      <w:r w:rsidRPr="006656B7">
        <w:rPr>
          <w:rFonts w:asciiTheme="minorHAnsi" w:hAnsiTheme="minorHAnsi" w:cs="Arial"/>
          <w:sz w:val="20"/>
          <w:szCs w:val="20"/>
        </w:rPr>
        <w:t xml:space="preserve">jako reakce na významný růst poptávky po pronájmu prostor v technologickém parku došlo mezi akcionáři </w:t>
      </w:r>
      <w:r w:rsidR="00A16C05" w:rsidRPr="006656B7">
        <w:rPr>
          <w:rFonts w:asciiTheme="minorHAnsi" w:hAnsiTheme="minorHAnsi" w:cs="Arial"/>
          <w:sz w:val="20"/>
          <w:szCs w:val="20"/>
        </w:rPr>
        <w:t xml:space="preserve">MSIC </w:t>
      </w:r>
      <w:r w:rsidRPr="006656B7">
        <w:rPr>
          <w:rFonts w:asciiTheme="minorHAnsi" w:hAnsiTheme="minorHAnsi" w:cs="Arial"/>
          <w:sz w:val="20"/>
          <w:szCs w:val="20"/>
        </w:rPr>
        <w:t xml:space="preserve">k dohodě o posílení role MSIC ve vztahu k fyzické </w:t>
      </w:r>
      <w:r w:rsidR="00A16C05" w:rsidRPr="006656B7">
        <w:rPr>
          <w:rFonts w:asciiTheme="minorHAnsi" w:hAnsiTheme="minorHAnsi" w:cs="Arial"/>
          <w:sz w:val="20"/>
          <w:szCs w:val="20"/>
        </w:rPr>
        <w:t>infrastruktuře parku, kdy</w:t>
      </w:r>
      <w:r w:rsidRPr="006656B7">
        <w:rPr>
          <w:rFonts w:asciiTheme="minorHAnsi" w:hAnsiTheme="minorHAnsi" w:cs="Arial"/>
          <w:sz w:val="20"/>
          <w:szCs w:val="20"/>
        </w:rPr>
        <w:t xml:space="preserve"> </w:t>
      </w:r>
      <w:r w:rsidR="00803DC2" w:rsidRPr="006656B7">
        <w:rPr>
          <w:rFonts w:asciiTheme="minorHAnsi" w:hAnsiTheme="minorHAnsi" w:cs="Arial"/>
          <w:sz w:val="20"/>
          <w:szCs w:val="20"/>
        </w:rPr>
        <w:t xml:space="preserve">součástí dohody </w:t>
      </w:r>
      <w:r w:rsidR="00A16C05" w:rsidRPr="006656B7">
        <w:rPr>
          <w:rFonts w:asciiTheme="minorHAnsi" w:hAnsiTheme="minorHAnsi" w:cs="Arial"/>
          <w:sz w:val="20"/>
          <w:szCs w:val="20"/>
        </w:rPr>
        <w:t>byl záměr</w:t>
      </w:r>
      <w:r w:rsidR="00803DC2" w:rsidRPr="006656B7">
        <w:rPr>
          <w:rFonts w:asciiTheme="minorHAnsi" w:hAnsiTheme="minorHAnsi" w:cs="Arial"/>
          <w:sz w:val="20"/>
          <w:szCs w:val="20"/>
        </w:rPr>
        <w:t xml:space="preserve"> vkladu multifunkčních budov PIANO a TANDEM</w:t>
      </w:r>
      <w:r w:rsidR="005E5DFD" w:rsidRPr="006656B7">
        <w:rPr>
          <w:rFonts w:asciiTheme="minorHAnsi" w:hAnsiTheme="minorHAnsi" w:cs="Arial"/>
          <w:sz w:val="20"/>
          <w:szCs w:val="20"/>
        </w:rPr>
        <w:t xml:space="preserve"> ve vlastnictví města, </w:t>
      </w:r>
      <w:r w:rsidR="00803DC2" w:rsidRPr="006656B7">
        <w:rPr>
          <w:rFonts w:asciiTheme="minorHAnsi" w:hAnsiTheme="minorHAnsi" w:cs="Arial"/>
          <w:sz w:val="20"/>
          <w:szCs w:val="20"/>
        </w:rPr>
        <w:t xml:space="preserve">na které se již nevztahují podmínky dotace, </w:t>
      </w:r>
      <w:r w:rsidR="006656B7" w:rsidRPr="006656B7">
        <w:rPr>
          <w:rFonts w:asciiTheme="minorHAnsi" w:hAnsiTheme="minorHAnsi" w:cs="Arial"/>
          <w:sz w:val="20"/>
          <w:szCs w:val="20"/>
        </w:rPr>
        <w:br/>
      </w:r>
      <w:r w:rsidR="00803DC2" w:rsidRPr="006656B7">
        <w:rPr>
          <w:rFonts w:asciiTheme="minorHAnsi" w:hAnsiTheme="minorHAnsi" w:cs="Arial"/>
          <w:sz w:val="20"/>
          <w:szCs w:val="20"/>
        </w:rPr>
        <w:t xml:space="preserve">do </w:t>
      </w:r>
      <w:r w:rsidR="00A16C05" w:rsidRPr="006656B7">
        <w:rPr>
          <w:rFonts w:asciiTheme="minorHAnsi" w:hAnsiTheme="minorHAnsi" w:cs="Arial"/>
          <w:sz w:val="20"/>
          <w:szCs w:val="20"/>
        </w:rPr>
        <w:t>základního kapitálu</w:t>
      </w:r>
      <w:r w:rsidR="00803DC2" w:rsidRPr="006656B7">
        <w:rPr>
          <w:rFonts w:asciiTheme="minorHAnsi" w:hAnsiTheme="minorHAnsi" w:cs="Arial"/>
          <w:sz w:val="20"/>
          <w:szCs w:val="20"/>
        </w:rPr>
        <w:t xml:space="preserve"> společnosti MSIC. </w:t>
      </w:r>
      <w:r w:rsidR="00F57108" w:rsidRPr="006656B7">
        <w:rPr>
          <w:rFonts w:asciiTheme="minorHAnsi" w:hAnsiTheme="minorHAnsi" w:cs="Arial"/>
          <w:sz w:val="20"/>
          <w:szCs w:val="20"/>
        </w:rPr>
        <w:t>K d</w:t>
      </w:r>
      <w:r w:rsidR="005E5DFD" w:rsidRPr="006656B7">
        <w:rPr>
          <w:rFonts w:asciiTheme="minorHAnsi" w:hAnsiTheme="minorHAnsi" w:cs="Arial"/>
          <w:sz w:val="20"/>
          <w:szCs w:val="20"/>
        </w:rPr>
        <w:t xml:space="preserve">orovnání vlastnických podílů </w:t>
      </w:r>
      <w:r w:rsidR="003E63D6" w:rsidRPr="006656B7">
        <w:rPr>
          <w:rFonts w:asciiTheme="minorHAnsi" w:hAnsiTheme="minorHAnsi" w:cs="Arial"/>
          <w:sz w:val="20"/>
          <w:szCs w:val="20"/>
        </w:rPr>
        <w:t xml:space="preserve">města a kraje </w:t>
      </w:r>
      <w:r w:rsidR="00F57108" w:rsidRPr="006656B7">
        <w:rPr>
          <w:rFonts w:asciiTheme="minorHAnsi" w:hAnsiTheme="minorHAnsi" w:cs="Arial"/>
          <w:sz w:val="20"/>
          <w:szCs w:val="20"/>
        </w:rPr>
        <w:t>dojde</w:t>
      </w:r>
      <w:r w:rsidR="005E5DFD" w:rsidRPr="006656B7">
        <w:rPr>
          <w:rFonts w:asciiTheme="minorHAnsi" w:hAnsiTheme="minorHAnsi" w:cs="Arial"/>
          <w:sz w:val="20"/>
          <w:szCs w:val="20"/>
        </w:rPr>
        <w:t xml:space="preserve"> navýšení</w:t>
      </w:r>
      <w:r w:rsidR="00F57108" w:rsidRPr="006656B7">
        <w:rPr>
          <w:rFonts w:asciiTheme="minorHAnsi" w:hAnsiTheme="minorHAnsi" w:cs="Arial"/>
          <w:sz w:val="20"/>
          <w:szCs w:val="20"/>
        </w:rPr>
        <w:t>m</w:t>
      </w:r>
      <w:r w:rsidR="005E5DFD" w:rsidRPr="006656B7">
        <w:rPr>
          <w:rFonts w:asciiTheme="minorHAnsi" w:hAnsiTheme="minorHAnsi" w:cs="Arial"/>
          <w:sz w:val="20"/>
          <w:szCs w:val="20"/>
        </w:rPr>
        <w:t xml:space="preserve"> kapitálu MSIC ze strany kraje</w:t>
      </w:r>
      <w:r w:rsidR="003E63D6" w:rsidRPr="006656B7">
        <w:rPr>
          <w:rFonts w:asciiTheme="minorHAnsi" w:hAnsiTheme="minorHAnsi" w:cs="Arial"/>
          <w:sz w:val="20"/>
          <w:szCs w:val="20"/>
        </w:rPr>
        <w:t xml:space="preserve"> form</w:t>
      </w:r>
      <w:r w:rsidR="003C3D75" w:rsidRPr="006656B7">
        <w:rPr>
          <w:rFonts w:asciiTheme="minorHAnsi" w:hAnsiTheme="minorHAnsi" w:cs="Arial"/>
          <w:sz w:val="20"/>
          <w:szCs w:val="20"/>
        </w:rPr>
        <w:t>ou</w:t>
      </w:r>
      <w:r w:rsidR="003E63D6" w:rsidRPr="006656B7">
        <w:rPr>
          <w:rFonts w:asciiTheme="minorHAnsi" w:hAnsiTheme="minorHAnsi" w:cs="Arial"/>
          <w:sz w:val="20"/>
          <w:szCs w:val="20"/>
        </w:rPr>
        <w:t xml:space="preserve"> poskytnutí finančních prostředků</w:t>
      </w:r>
      <w:r w:rsidR="001302FD" w:rsidRPr="006656B7">
        <w:rPr>
          <w:rFonts w:asciiTheme="minorHAnsi" w:hAnsiTheme="minorHAnsi" w:cs="Arial"/>
          <w:sz w:val="20"/>
          <w:szCs w:val="20"/>
        </w:rPr>
        <w:t>, které</w:t>
      </w:r>
      <w:r w:rsidR="005E5DFD" w:rsidRPr="006656B7">
        <w:rPr>
          <w:rFonts w:asciiTheme="minorHAnsi" w:hAnsiTheme="minorHAnsi" w:cs="Arial"/>
          <w:sz w:val="20"/>
          <w:szCs w:val="20"/>
        </w:rPr>
        <w:t xml:space="preserve"> bude </w:t>
      </w:r>
      <w:r w:rsidR="001302FD" w:rsidRPr="006656B7">
        <w:rPr>
          <w:rFonts w:asciiTheme="minorHAnsi" w:hAnsiTheme="minorHAnsi" w:cs="Arial"/>
          <w:sz w:val="20"/>
          <w:szCs w:val="20"/>
        </w:rPr>
        <w:t xml:space="preserve">následně </w:t>
      </w:r>
      <w:r w:rsidR="005E5DFD" w:rsidRPr="006656B7">
        <w:rPr>
          <w:rFonts w:asciiTheme="minorHAnsi" w:hAnsiTheme="minorHAnsi" w:cs="Arial"/>
          <w:sz w:val="20"/>
          <w:szCs w:val="20"/>
        </w:rPr>
        <w:t>možné využít k</w:t>
      </w:r>
      <w:r w:rsidR="006656B7" w:rsidRPr="006656B7">
        <w:rPr>
          <w:rFonts w:asciiTheme="minorHAnsi" w:hAnsiTheme="minorHAnsi" w:cs="Arial"/>
          <w:sz w:val="20"/>
          <w:szCs w:val="20"/>
        </w:rPr>
        <w:t xml:space="preserve"> rekonstrukci a </w:t>
      </w:r>
      <w:r w:rsidR="005E5DFD" w:rsidRPr="006656B7">
        <w:rPr>
          <w:rFonts w:asciiTheme="minorHAnsi" w:hAnsiTheme="minorHAnsi" w:cs="Arial"/>
          <w:sz w:val="20"/>
          <w:szCs w:val="20"/>
        </w:rPr>
        <w:t xml:space="preserve">modernizaci objektů. </w:t>
      </w:r>
    </w:p>
    <w:p w14:paraId="600AC636" w14:textId="775D86E7" w:rsidR="006656B7" w:rsidRDefault="006656B7" w:rsidP="00C10779">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v souladu s dohodnutým postupem bylo společností MSIC v 04/2020 zadáno vypracování znaleckých posudků </w:t>
      </w:r>
      <w:r>
        <w:rPr>
          <w:rFonts w:asciiTheme="minorHAnsi" w:hAnsiTheme="minorHAnsi" w:cs="Arial"/>
          <w:sz w:val="20"/>
          <w:szCs w:val="20"/>
        </w:rPr>
        <w:br/>
        <w:t xml:space="preserve">na ocenění objektů PIANO a TANDEM pro účely vkladu do základního kapitálu společnosti. V průběhu II. a III. kvartálu r. 2020 byly dohledávány a shromažďovány </w:t>
      </w:r>
      <w:r w:rsidR="004C2847">
        <w:rPr>
          <w:rFonts w:asciiTheme="minorHAnsi" w:hAnsiTheme="minorHAnsi" w:cs="Arial"/>
          <w:sz w:val="20"/>
          <w:szCs w:val="20"/>
        </w:rPr>
        <w:t xml:space="preserve">rozsáhlé </w:t>
      </w:r>
      <w:r>
        <w:rPr>
          <w:rFonts w:asciiTheme="minorHAnsi" w:hAnsiTheme="minorHAnsi" w:cs="Arial"/>
          <w:sz w:val="20"/>
          <w:szCs w:val="20"/>
        </w:rPr>
        <w:t xml:space="preserve">podklady pro zpracování znaleckých posudků, </w:t>
      </w:r>
      <w:r w:rsidR="00061679">
        <w:rPr>
          <w:rFonts w:asciiTheme="minorHAnsi" w:hAnsiTheme="minorHAnsi" w:cs="Arial"/>
          <w:sz w:val="20"/>
          <w:szCs w:val="20"/>
        </w:rPr>
        <w:t>jejichž ko</w:t>
      </w:r>
      <w:r w:rsidR="00A80403">
        <w:rPr>
          <w:rFonts w:asciiTheme="minorHAnsi" w:hAnsiTheme="minorHAnsi" w:cs="Arial"/>
          <w:sz w:val="20"/>
          <w:szCs w:val="20"/>
        </w:rPr>
        <w:t>n</w:t>
      </w:r>
      <w:r w:rsidR="00061679">
        <w:rPr>
          <w:rFonts w:asciiTheme="minorHAnsi" w:hAnsiTheme="minorHAnsi" w:cs="Arial"/>
          <w:sz w:val="20"/>
          <w:szCs w:val="20"/>
        </w:rPr>
        <w:t xml:space="preserve">cepty byly vybraným znalcem </w:t>
      </w:r>
      <w:r w:rsidR="00A80403">
        <w:rPr>
          <w:rFonts w:asciiTheme="minorHAnsi" w:hAnsiTheme="minorHAnsi" w:cs="Arial"/>
          <w:sz w:val="20"/>
          <w:szCs w:val="20"/>
        </w:rPr>
        <w:t>prezentovány</w:t>
      </w:r>
      <w:r w:rsidR="00061679">
        <w:rPr>
          <w:rFonts w:asciiTheme="minorHAnsi" w:hAnsiTheme="minorHAnsi" w:cs="Arial"/>
          <w:sz w:val="20"/>
          <w:szCs w:val="20"/>
        </w:rPr>
        <w:t xml:space="preserve"> </w:t>
      </w:r>
      <w:r>
        <w:rPr>
          <w:rFonts w:asciiTheme="minorHAnsi" w:hAnsiTheme="minorHAnsi" w:cs="Arial"/>
          <w:sz w:val="20"/>
          <w:szCs w:val="20"/>
        </w:rPr>
        <w:t xml:space="preserve">v 07/2020. </w:t>
      </w:r>
    </w:p>
    <w:p w14:paraId="2BD4B6A7" w14:textId="1DACF40B" w:rsidR="004D29E7" w:rsidRDefault="004D29E7" w:rsidP="00C10779">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po prezentaci </w:t>
      </w:r>
      <w:r w:rsidR="009C2394">
        <w:rPr>
          <w:rFonts w:asciiTheme="minorHAnsi" w:hAnsiTheme="minorHAnsi" w:cs="Arial"/>
          <w:sz w:val="20"/>
          <w:szCs w:val="20"/>
        </w:rPr>
        <w:t xml:space="preserve">návrhů </w:t>
      </w:r>
      <w:r>
        <w:rPr>
          <w:rFonts w:asciiTheme="minorHAnsi" w:hAnsiTheme="minorHAnsi" w:cs="Arial"/>
          <w:sz w:val="20"/>
          <w:szCs w:val="20"/>
        </w:rPr>
        <w:t xml:space="preserve">posudků znalcem a jejich posouzení bylo zúčastněnými stranami konstatováno, že znalecké posudky nejsou pro účely vkladu </w:t>
      </w:r>
      <w:r w:rsidR="007F6DDE">
        <w:rPr>
          <w:rFonts w:asciiTheme="minorHAnsi" w:hAnsiTheme="minorHAnsi" w:cs="Arial"/>
          <w:sz w:val="20"/>
          <w:szCs w:val="20"/>
        </w:rPr>
        <w:t>relevantní</w:t>
      </w:r>
      <w:r>
        <w:rPr>
          <w:rFonts w:asciiTheme="minorHAnsi" w:hAnsiTheme="minorHAnsi" w:cs="Arial"/>
          <w:sz w:val="20"/>
          <w:szCs w:val="20"/>
        </w:rPr>
        <w:t xml:space="preserve"> vzhledem ke skutečnosti, že </w:t>
      </w:r>
      <w:r w:rsidR="00E95E5E">
        <w:rPr>
          <w:rFonts w:asciiTheme="minorHAnsi" w:hAnsiTheme="minorHAnsi" w:cs="Arial"/>
          <w:sz w:val="20"/>
          <w:szCs w:val="20"/>
        </w:rPr>
        <w:t>nezahrnují</w:t>
      </w:r>
      <w:r>
        <w:rPr>
          <w:rFonts w:asciiTheme="minorHAnsi" w:hAnsiTheme="minorHAnsi" w:cs="Arial"/>
          <w:sz w:val="20"/>
          <w:szCs w:val="20"/>
        </w:rPr>
        <w:t xml:space="preserve"> stavební vady budov </w:t>
      </w:r>
      <w:r w:rsidR="00FB6580">
        <w:rPr>
          <w:rFonts w:asciiTheme="minorHAnsi" w:hAnsiTheme="minorHAnsi" w:cs="Arial"/>
          <w:sz w:val="20"/>
          <w:szCs w:val="20"/>
        </w:rPr>
        <w:t xml:space="preserve">a náklady na jejich odstranění. </w:t>
      </w:r>
      <w:r w:rsidR="009C2394">
        <w:rPr>
          <w:rFonts w:asciiTheme="minorHAnsi" w:hAnsiTheme="minorHAnsi" w:cs="Arial"/>
          <w:sz w:val="20"/>
          <w:szCs w:val="20"/>
        </w:rPr>
        <w:t xml:space="preserve">MSIC jako zadavatel </w:t>
      </w:r>
      <w:r w:rsidR="00653919">
        <w:rPr>
          <w:rFonts w:asciiTheme="minorHAnsi" w:hAnsiTheme="minorHAnsi" w:cs="Arial"/>
          <w:sz w:val="20"/>
          <w:szCs w:val="20"/>
        </w:rPr>
        <w:t xml:space="preserve">do konce sledovaného období </w:t>
      </w:r>
      <w:r w:rsidR="009C2394">
        <w:rPr>
          <w:rFonts w:asciiTheme="minorHAnsi" w:hAnsiTheme="minorHAnsi" w:cs="Arial"/>
          <w:sz w:val="20"/>
          <w:szCs w:val="20"/>
        </w:rPr>
        <w:t xml:space="preserve">upravené znalecké posudky hlavním akcionářům nepředložil. </w:t>
      </w:r>
      <w:r w:rsidR="007F6DDE">
        <w:rPr>
          <w:rFonts w:asciiTheme="minorHAnsi" w:hAnsiTheme="minorHAnsi" w:cs="Arial"/>
          <w:sz w:val="20"/>
          <w:szCs w:val="20"/>
        </w:rPr>
        <w:t xml:space="preserve">Aby byl záměr vkladu naplněn, </w:t>
      </w:r>
      <w:r w:rsidR="008E40D2">
        <w:rPr>
          <w:rFonts w:asciiTheme="minorHAnsi" w:hAnsiTheme="minorHAnsi" w:cs="Arial"/>
          <w:sz w:val="20"/>
          <w:szCs w:val="20"/>
        </w:rPr>
        <w:t>rozhodlo město</w:t>
      </w:r>
      <w:r w:rsidR="007F6DDE">
        <w:rPr>
          <w:rFonts w:asciiTheme="minorHAnsi" w:hAnsiTheme="minorHAnsi" w:cs="Arial"/>
          <w:sz w:val="20"/>
          <w:szCs w:val="20"/>
        </w:rPr>
        <w:t xml:space="preserve"> a Rad</w:t>
      </w:r>
      <w:r w:rsidR="00692265">
        <w:rPr>
          <w:rFonts w:asciiTheme="minorHAnsi" w:hAnsiTheme="minorHAnsi" w:cs="Arial"/>
          <w:sz w:val="20"/>
          <w:szCs w:val="20"/>
        </w:rPr>
        <w:t>a</w:t>
      </w:r>
      <w:r w:rsidR="007F6DDE">
        <w:rPr>
          <w:rFonts w:asciiTheme="minorHAnsi" w:hAnsiTheme="minorHAnsi" w:cs="Arial"/>
          <w:sz w:val="20"/>
          <w:szCs w:val="20"/>
        </w:rPr>
        <w:t xml:space="preserve"> města usnesením </w:t>
      </w:r>
      <w:r w:rsidR="00F31772">
        <w:rPr>
          <w:rFonts w:asciiTheme="minorHAnsi" w:hAnsiTheme="minorHAnsi" w:cs="Arial"/>
          <w:sz w:val="20"/>
          <w:szCs w:val="20"/>
        </w:rPr>
        <w:br/>
      </w:r>
      <w:r w:rsidR="007F6DDE">
        <w:rPr>
          <w:rFonts w:asciiTheme="minorHAnsi" w:hAnsiTheme="minorHAnsi" w:cs="Arial"/>
          <w:sz w:val="20"/>
          <w:szCs w:val="20"/>
        </w:rPr>
        <w:t xml:space="preserve">č. 5437/RM1822/79 ze dne 1. 12. 2020 </w:t>
      </w:r>
      <w:r w:rsidR="00692265">
        <w:rPr>
          <w:rFonts w:asciiTheme="minorHAnsi" w:hAnsiTheme="minorHAnsi" w:cs="Arial"/>
          <w:sz w:val="20"/>
          <w:szCs w:val="20"/>
        </w:rPr>
        <w:t>schválila</w:t>
      </w:r>
      <w:r w:rsidR="007F6DDE">
        <w:rPr>
          <w:rFonts w:asciiTheme="minorHAnsi" w:hAnsiTheme="minorHAnsi" w:cs="Arial"/>
          <w:sz w:val="20"/>
          <w:szCs w:val="20"/>
        </w:rPr>
        <w:t xml:space="preserve"> zadání zpracování nového znaleckého posudku</w:t>
      </w:r>
      <w:r w:rsidR="008E40D2">
        <w:rPr>
          <w:rFonts w:asciiTheme="minorHAnsi" w:hAnsiTheme="minorHAnsi" w:cs="Arial"/>
          <w:sz w:val="20"/>
          <w:szCs w:val="20"/>
        </w:rPr>
        <w:t>, který bude zohledňovat</w:t>
      </w:r>
      <w:r w:rsidR="00692265">
        <w:rPr>
          <w:rFonts w:asciiTheme="minorHAnsi" w:hAnsiTheme="minorHAnsi" w:cs="Arial"/>
          <w:sz w:val="20"/>
          <w:szCs w:val="20"/>
        </w:rPr>
        <w:t xml:space="preserve"> veškeré</w:t>
      </w:r>
      <w:r w:rsidR="008E40D2">
        <w:rPr>
          <w:rFonts w:asciiTheme="minorHAnsi" w:hAnsiTheme="minorHAnsi" w:cs="Arial"/>
          <w:sz w:val="20"/>
          <w:szCs w:val="20"/>
        </w:rPr>
        <w:t xml:space="preserve"> požadavky akcionářů, </w:t>
      </w:r>
      <w:r w:rsidR="00767641">
        <w:rPr>
          <w:rFonts w:asciiTheme="minorHAnsi" w:hAnsiTheme="minorHAnsi" w:cs="Arial"/>
          <w:sz w:val="20"/>
          <w:szCs w:val="20"/>
        </w:rPr>
        <w:t xml:space="preserve">včetně zohlednění stavebních vad objektů, nákladů na jejich odstranění </w:t>
      </w:r>
      <w:r w:rsidR="00767641">
        <w:rPr>
          <w:rFonts w:asciiTheme="minorHAnsi" w:hAnsiTheme="minorHAnsi" w:cs="Arial"/>
          <w:sz w:val="20"/>
          <w:szCs w:val="20"/>
        </w:rPr>
        <w:lastRenderedPageBreak/>
        <w:t>a opatření k zabránění vzniku vad nových</w:t>
      </w:r>
      <w:r w:rsidR="00692265">
        <w:rPr>
          <w:rFonts w:asciiTheme="minorHAnsi" w:hAnsiTheme="minorHAnsi" w:cs="Arial"/>
          <w:sz w:val="20"/>
          <w:szCs w:val="20"/>
        </w:rPr>
        <w:t xml:space="preserve"> a zároveň objasní, v čem se liší od znaleckých posudků zadaných společností </w:t>
      </w:r>
      <w:r w:rsidR="00CC1ED0">
        <w:rPr>
          <w:rFonts w:asciiTheme="minorHAnsi" w:hAnsiTheme="minorHAnsi" w:cs="Arial"/>
          <w:sz w:val="20"/>
          <w:szCs w:val="20"/>
        </w:rPr>
        <w:t>MSIC. Znalecký posudek</w:t>
      </w:r>
      <w:r w:rsidR="00F31772">
        <w:rPr>
          <w:rFonts w:asciiTheme="minorHAnsi" w:hAnsiTheme="minorHAnsi" w:cs="Arial"/>
          <w:sz w:val="20"/>
          <w:szCs w:val="20"/>
        </w:rPr>
        <w:t xml:space="preserve"> zadaný městem </w:t>
      </w:r>
      <w:r w:rsidR="00CC1ED0">
        <w:rPr>
          <w:rFonts w:asciiTheme="minorHAnsi" w:hAnsiTheme="minorHAnsi" w:cs="Arial"/>
          <w:sz w:val="20"/>
          <w:szCs w:val="20"/>
        </w:rPr>
        <w:t xml:space="preserve">bude vedení města a akcionářům prezentován v 02/2021. </w:t>
      </w:r>
    </w:p>
    <w:p w14:paraId="248951A7" w14:textId="51CDF7E2" w:rsidR="005F4E4B" w:rsidRPr="00C06334" w:rsidRDefault="00E83DF6" w:rsidP="00C10779">
      <w:pPr>
        <w:pStyle w:val="Zkladntext"/>
        <w:numPr>
          <w:ilvl w:val="0"/>
          <w:numId w:val="2"/>
        </w:numPr>
        <w:spacing w:after="120"/>
        <w:ind w:left="284" w:hanging="284"/>
        <w:rPr>
          <w:rFonts w:asciiTheme="minorHAnsi" w:hAnsiTheme="minorHAnsi" w:cs="Arial"/>
          <w:sz w:val="20"/>
          <w:szCs w:val="20"/>
        </w:rPr>
      </w:pPr>
      <w:r w:rsidRPr="00C06334">
        <w:rPr>
          <w:rFonts w:asciiTheme="minorHAnsi" w:hAnsiTheme="minorHAnsi" w:cs="Arial"/>
          <w:sz w:val="20"/>
          <w:szCs w:val="20"/>
        </w:rPr>
        <w:t xml:space="preserve">v průběhu II. pol. r. 2020 byly </w:t>
      </w:r>
      <w:r w:rsidR="00195DF9">
        <w:rPr>
          <w:rFonts w:asciiTheme="minorHAnsi" w:hAnsiTheme="minorHAnsi" w:cs="Arial"/>
          <w:sz w:val="20"/>
          <w:szCs w:val="20"/>
        </w:rPr>
        <w:t>řešeny</w:t>
      </w:r>
      <w:r w:rsidR="00B64291" w:rsidRPr="00C06334">
        <w:rPr>
          <w:rFonts w:asciiTheme="minorHAnsi" w:hAnsiTheme="minorHAnsi" w:cs="Arial"/>
          <w:sz w:val="20"/>
          <w:szCs w:val="20"/>
        </w:rPr>
        <w:t xml:space="preserve"> podmínky k případné vratce dotace projektu „Multifunkční budova III, IV Vědecko-technologického parku Ostrava“, jehož výstavba byla finančně podpořena z dotačního programu OPPI. </w:t>
      </w:r>
      <w:r w:rsidR="00F45C61">
        <w:rPr>
          <w:rFonts w:asciiTheme="minorHAnsi" w:hAnsiTheme="minorHAnsi" w:cs="Arial"/>
          <w:sz w:val="20"/>
          <w:szCs w:val="20"/>
        </w:rPr>
        <w:br/>
      </w:r>
      <w:r w:rsidR="00B64291" w:rsidRPr="00C06334">
        <w:rPr>
          <w:rFonts w:asciiTheme="minorHAnsi" w:hAnsiTheme="minorHAnsi" w:cs="Arial"/>
          <w:sz w:val="20"/>
          <w:szCs w:val="20"/>
        </w:rPr>
        <w:t xml:space="preserve">Dle podmínek </w:t>
      </w:r>
      <w:r w:rsidR="00912B9B" w:rsidRPr="00C06334">
        <w:rPr>
          <w:rFonts w:asciiTheme="minorHAnsi" w:hAnsiTheme="minorHAnsi" w:cs="Arial"/>
          <w:sz w:val="20"/>
          <w:szCs w:val="20"/>
        </w:rPr>
        <w:t>Programu</w:t>
      </w:r>
      <w:r w:rsidR="00B64291" w:rsidRPr="00C06334">
        <w:rPr>
          <w:rFonts w:asciiTheme="minorHAnsi" w:hAnsiTheme="minorHAnsi" w:cs="Arial"/>
          <w:sz w:val="20"/>
          <w:szCs w:val="20"/>
        </w:rPr>
        <w:t xml:space="preserve"> je příjemce dotace povinen předat celkovou výši obdržené dotace konečným příjemcům (inovačním firmám v objektech TRIDENT a VIVA) formou zvýhodněných služeb, a to během </w:t>
      </w:r>
      <w:proofErr w:type="gramStart"/>
      <w:r w:rsidR="00B64291" w:rsidRPr="00C06334">
        <w:rPr>
          <w:rFonts w:asciiTheme="minorHAnsi" w:hAnsiTheme="minorHAnsi" w:cs="Arial"/>
          <w:sz w:val="20"/>
          <w:szCs w:val="20"/>
        </w:rPr>
        <w:t>10-leté</w:t>
      </w:r>
      <w:proofErr w:type="gramEnd"/>
      <w:r w:rsidR="00B64291" w:rsidRPr="00C06334">
        <w:rPr>
          <w:rFonts w:asciiTheme="minorHAnsi" w:hAnsiTheme="minorHAnsi" w:cs="Arial"/>
          <w:sz w:val="20"/>
          <w:szCs w:val="20"/>
        </w:rPr>
        <w:t xml:space="preserve"> doby udržitelnosti projektu. Na základě předběžných propočtů dle stanovené Metodiky odpočtu příjmů bude muset město </w:t>
      </w:r>
      <w:r w:rsidR="00912B9B" w:rsidRPr="00C06334">
        <w:rPr>
          <w:rFonts w:asciiTheme="minorHAnsi" w:hAnsiTheme="minorHAnsi" w:cs="Arial"/>
          <w:sz w:val="20"/>
          <w:szCs w:val="20"/>
        </w:rPr>
        <w:t xml:space="preserve">z důvodu dosažení ziskového hospodaření MSIC </w:t>
      </w:r>
      <w:r w:rsidR="00B64291" w:rsidRPr="00C06334">
        <w:rPr>
          <w:rFonts w:asciiTheme="minorHAnsi" w:hAnsiTheme="minorHAnsi" w:cs="Arial"/>
          <w:sz w:val="20"/>
          <w:szCs w:val="20"/>
        </w:rPr>
        <w:t>vrátit určitou část poskytnuté dotace na výstavbu budov do státního rozpočtu.</w:t>
      </w:r>
      <w:r w:rsidR="00912B9B" w:rsidRPr="00C06334">
        <w:rPr>
          <w:rFonts w:asciiTheme="minorHAnsi" w:hAnsiTheme="minorHAnsi" w:cs="Arial"/>
          <w:sz w:val="20"/>
          <w:szCs w:val="20"/>
        </w:rPr>
        <w:t xml:space="preserve"> Vzhledem k tomu, že tato částka může být vzhledem k očekávaným investicím do budov do konce udržitelnosti, tj. 12/2025, snížena či zcela negována, </w:t>
      </w:r>
      <w:r w:rsidR="00D45173">
        <w:rPr>
          <w:rFonts w:asciiTheme="minorHAnsi" w:hAnsiTheme="minorHAnsi" w:cs="Arial"/>
          <w:sz w:val="20"/>
          <w:szCs w:val="20"/>
        </w:rPr>
        <w:t>osloví</w:t>
      </w:r>
      <w:r w:rsidR="00195DF9">
        <w:rPr>
          <w:rFonts w:asciiTheme="minorHAnsi" w:hAnsiTheme="minorHAnsi" w:cs="Arial"/>
          <w:sz w:val="20"/>
          <w:szCs w:val="20"/>
        </w:rPr>
        <w:t xml:space="preserve"> město po ověření predikce dalšího vývoje příjmů </w:t>
      </w:r>
      <w:r w:rsidR="00912B9B" w:rsidRPr="00C06334">
        <w:rPr>
          <w:rFonts w:asciiTheme="minorHAnsi" w:hAnsiTheme="minorHAnsi" w:cs="Arial"/>
          <w:sz w:val="20"/>
          <w:szCs w:val="20"/>
        </w:rPr>
        <w:t xml:space="preserve">poskytovatele dotace </w:t>
      </w:r>
      <w:r w:rsidR="00D45173">
        <w:rPr>
          <w:rFonts w:asciiTheme="minorHAnsi" w:hAnsiTheme="minorHAnsi" w:cs="Arial"/>
          <w:sz w:val="20"/>
          <w:szCs w:val="20"/>
        </w:rPr>
        <w:br/>
      </w:r>
      <w:r w:rsidR="00912B9B" w:rsidRPr="00C06334">
        <w:rPr>
          <w:rFonts w:asciiTheme="minorHAnsi" w:hAnsiTheme="minorHAnsi" w:cs="Arial"/>
          <w:sz w:val="20"/>
          <w:szCs w:val="20"/>
        </w:rPr>
        <w:t xml:space="preserve">o vyjádření ke splatnosti vratky. </w:t>
      </w:r>
    </w:p>
    <w:p w14:paraId="320F0333" w14:textId="29583504" w:rsidR="00744337" w:rsidRDefault="00744337" w:rsidP="008859E4">
      <w:pPr>
        <w:pStyle w:val="Zkladntext"/>
        <w:numPr>
          <w:ilvl w:val="0"/>
          <w:numId w:val="2"/>
        </w:numPr>
        <w:spacing w:after="120"/>
        <w:ind w:left="284" w:hanging="284"/>
        <w:rPr>
          <w:rFonts w:asciiTheme="minorHAnsi" w:hAnsiTheme="minorHAnsi" w:cs="Arial"/>
          <w:sz w:val="20"/>
          <w:szCs w:val="20"/>
        </w:rPr>
      </w:pPr>
      <w:r w:rsidRPr="005F4E4B">
        <w:rPr>
          <w:rFonts w:asciiTheme="minorHAnsi" w:hAnsiTheme="minorHAnsi" w:cs="Arial"/>
          <w:sz w:val="20"/>
          <w:szCs w:val="20"/>
        </w:rPr>
        <w:t xml:space="preserve">společnost MSIC </w:t>
      </w:r>
      <w:r w:rsidR="00912B9B">
        <w:rPr>
          <w:rFonts w:asciiTheme="minorHAnsi" w:hAnsiTheme="minorHAnsi" w:cs="Arial"/>
          <w:sz w:val="20"/>
          <w:szCs w:val="20"/>
        </w:rPr>
        <w:t>zpracovala a v 09/2020</w:t>
      </w:r>
      <w:r w:rsidRPr="005F4E4B">
        <w:rPr>
          <w:rFonts w:asciiTheme="minorHAnsi" w:hAnsiTheme="minorHAnsi" w:cs="Arial"/>
          <w:sz w:val="20"/>
          <w:szCs w:val="20"/>
        </w:rPr>
        <w:t xml:space="preserve"> </w:t>
      </w:r>
      <w:r w:rsidR="00912B9B">
        <w:rPr>
          <w:rFonts w:asciiTheme="minorHAnsi" w:hAnsiTheme="minorHAnsi" w:cs="Arial"/>
          <w:sz w:val="20"/>
          <w:szCs w:val="20"/>
        </w:rPr>
        <w:t>akcionářům předložila</w:t>
      </w:r>
      <w:r w:rsidRPr="005F4E4B">
        <w:rPr>
          <w:rFonts w:asciiTheme="minorHAnsi" w:hAnsiTheme="minorHAnsi" w:cs="Arial"/>
          <w:sz w:val="20"/>
          <w:szCs w:val="20"/>
        </w:rPr>
        <w:t xml:space="preserve"> </w:t>
      </w:r>
      <w:r w:rsidR="00945A07">
        <w:rPr>
          <w:rFonts w:asciiTheme="minorHAnsi" w:hAnsiTheme="minorHAnsi" w:cs="Arial"/>
          <w:sz w:val="20"/>
          <w:szCs w:val="20"/>
        </w:rPr>
        <w:t>ideový záměr</w:t>
      </w:r>
      <w:r w:rsidRPr="005F4E4B">
        <w:rPr>
          <w:rFonts w:asciiTheme="minorHAnsi" w:hAnsiTheme="minorHAnsi" w:cs="Arial"/>
          <w:sz w:val="20"/>
          <w:szCs w:val="20"/>
        </w:rPr>
        <w:t xml:space="preserve"> rozvoje vědecko-technologického parku v období 2021+, jehož hlavními výstupy </w:t>
      </w:r>
      <w:r w:rsidR="00945A07">
        <w:rPr>
          <w:rFonts w:asciiTheme="minorHAnsi" w:hAnsiTheme="minorHAnsi" w:cs="Arial"/>
          <w:sz w:val="20"/>
          <w:szCs w:val="20"/>
        </w:rPr>
        <w:t>jsou</w:t>
      </w:r>
      <w:r w:rsidRPr="005F4E4B">
        <w:rPr>
          <w:rFonts w:asciiTheme="minorHAnsi" w:hAnsiTheme="minorHAnsi" w:cs="Arial"/>
          <w:sz w:val="20"/>
          <w:szCs w:val="20"/>
        </w:rPr>
        <w:t xml:space="preserve"> územní „rozvojová“ mapa a návrh budoucího funkčního a synergického využití budov</w:t>
      </w:r>
      <w:r w:rsidR="00030701" w:rsidRPr="005F4E4B">
        <w:rPr>
          <w:rFonts w:asciiTheme="minorHAnsi" w:hAnsiTheme="minorHAnsi" w:cs="Arial"/>
          <w:sz w:val="20"/>
          <w:szCs w:val="20"/>
        </w:rPr>
        <w:t>.</w:t>
      </w:r>
      <w:r w:rsidRPr="005F4E4B">
        <w:rPr>
          <w:rFonts w:asciiTheme="minorHAnsi" w:hAnsiTheme="minorHAnsi" w:cs="Arial"/>
          <w:sz w:val="20"/>
          <w:szCs w:val="20"/>
        </w:rPr>
        <w:t xml:space="preserve"> </w:t>
      </w:r>
      <w:r w:rsidR="00EB2E8C">
        <w:rPr>
          <w:rFonts w:asciiTheme="minorHAnsi" w:hAnsiTheme="minorHAnsi" w:cs="Arial"/>
          <w:sz w:val="20"/>
          <w:szCs w:val="20"/>
        </w:rPr>
        <w:t xml:space="preserve">Aktuálně probíhají další jednání za účasti MAPPA k urbanistickému řešení parku, kde budou uplatněny principy funkčnosti, zastavěnosti území, ekonomické efektivnosti a kvalitního urbanismu. Výhled další existence budov PIANO a TANDEM je podmíněn rozhodnutím vlastníka, tj. města a jeho dohodou s krajem jako dalším významným akcionářem. Podkladem pro rozhodnutí, zda bude přistoupeno k důkladné rekonstrukci budov či jejich demolici a výstavbě nové budovy, budou znalecká ocenění objektů a </w:t>
      </w:r>
      <w:proofErr w:type="spellStart"/>
      <w:r w:rsidR="00EB2E8C">
        <w:rPr>
          <w:rFonts w:asciiTheme="minorHAnsi" w:hAnsiTheme="minorHAnsi" w:cs="Arial"/>
          <w:sz w:val="20"/>
          <w:szCs w:val="20"/>
        </w:rPr>
        <w:t>cost</w:t>
      </w:r>
      <w:proofErr w:type="spellEnd"/>
      <w:r w:rsidR="00EB2E8C">
        <w:rPr>
          <w:rFonts w:asciiTheme="minorHAnsi" w:hAnsiTheme="minorHAnsi" w:cs="Arial"/>
          <w:sz w:val="20"/>
          <w:szCs w:val="20"/>
        </w:rPr>
        <w:t xml:space="preserve">-benefit analýza nákladů a přínosů zadaná MSIC. </w:t>
      </w:r>
    </w:p>
    <w:p w14:paraId="4467925A" w14:textId="45E1B63F" w:rsidR="00F34D41" w:rsidRPr="005F4E4B" w:rsidRDefault="008D3261" w:rsidP="00C232B6">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součástí zpracovaného záměru je mj.</w:t>
      </w:r>
      <w:r w:rsidR="00F34D41" w:rsidRPr="005F4E4B">
        <w:rPr>
          <w:rFonts w:asciiTheme="minorHAnsi" w:hAnsiTheme="minorHAnsi" w:cs="Arial"/>
          <w:sz w:val="20"/>
          <w:szCs w:val="20"/>
        </w:rPr>
        <w:t xml:space="preserve"> výstavba V. budovy technologického parku</w:t>
      </w:r>
      <w:r w:rsidR="00633049">
        <w:rPr>
          <w:rFonts w:asciiTheme="minorHAnsi" w:hAnsiTheme="minorHAnsi" w:cs="Arial"/>
          <w:sz w:val="20"/>
          <w:szCs w:val="20"/>
        </w:rPr>
        <w:t xml:space="preserve"> s užitnou plochou cca 11 500 m</w:t>
      </w:r>
      <w:r w:rsidR="00633049">
        <w:rPr>
          <w:rFonts w:asciiTheme="minorHAnsi" w:hAnsiTheme="minorHAnsi" w:cs="Arial"/>
          <w:sz w:val="20"/>
          <w:szCs w:val="20"/>
          <w:vertAlign w:val="superscript"/>
        </w:rPr>
        <w:t>2</w:t>
      </w:r>
      <w:r w:rsidR="00633049">
        <w:rPr>
          <w:rFonts w:asciiTheme="minorHAnsi" w:hAnsiTheme="minorHAnsi" w:cs="Arial"/>
          <w:sz w:val="20"/>
          <w:szCs w:val="20"/>
        </w:rPr>
        <w:t xml:space="preserve">, </w:t>
      </w:r>
      <w:r w:rsidR="004B26CE">
        <w:rPr>
          <w:rFonts w:asciiTheme="minorHAnsi" w:hAnsiTheme="minorHAnsi" w:cs="Arial"/>
          <w:sz w:val="20"/>
          <w:szCs w:val="20"/>
        </w:rPr>
        <w:t xml:space="preserve">během r. 2020 byl upřesňován základní koncept řešení budovy </w:t>
      </w:r>
      <w:r w:rsidR="00A25C13">
        <w:rPr>
          <w:rFonts w:asciiTheme="minorHAnsi" w:hAnsiTheme="minorHAnsi" w:cs="Arial"/>
          <w:sz w:val="20"/>
          <w:szCs w:val="20"/>
        </w:rPr>
        <w:t xml:space="preserve">na základě již zpracované architektonické studie </w:t>
      </w:r>
      <w:r w:rsidR="004B26CE">
        <w:rPr>
          <w:rFonts w:asciiTheme="minorHAnsi" w:hAnsiTheme="minorHAnsi" w:cs="Arial"/>
          <w:sz w:val="20"/>
          <w:szCs w:val="20"/>
        </w:rPr>
        <w:t xml:space="preserve">a </w:t>
      </w:r>
      <w:r w:rsidR="00F34D41" w:rsidRPr="005F4E4B">
        <w:rPr>
          <w:rFonts w:asciiTheme="minorHAnsi" w:hAnsiTheme="minorHAnsi" w:cs="Arial"/>
          <w:sz w:val="20"/>
          <w:szCs w:val="20"/>
        </w:rPr>
        <w:t xml:space="preserve">prověřovány </w:t>
      </w:r>
      <w:r w:rsidR="00F54F45">
        <w:rPr>
          <w:rFonts w:asciiTheme="minorHAnsi" w:hAnsiTheme="minorHAnsi" w:cs="Arial"/>
          <w:sz w:val="20"/>
          <w:szCs w:val="20"/>
        </w:rPr>
        <w:t>způsoby</w:t>
      </w:r>
      <w:r w:rsidR="00F34D41" w:rsidRPr="005F4E4B">
        <w:rPr>
          <w:rFonts w:asciiTheme="minorHAnsi" w:hAnsiTheme="minorHAnsi" w:cs="Arial"/>
          <w:sz w:val="20"/>
          <w:szCs w:val="20"/>
        </w:rPr>
        <w:t xml:space="preserve"> financování výstavby. </w:t>
      </w:r>
      <w:r w:rsidR="004B26CE">
        <w:rPr>
          <w:rFonts w:asciiTheme="minorHAnsi" w:hAnsiTheme="minorHAnsi" w:cs="Arial"/>
          <w:sz w:val="20"/>
          <w:szCs w:val="20"/>
        </w:rPr>
        <w:t xml:space="preserve">Pro zahájení projektové přípravy budovy </w:t>
      </w:r>
      <w:r w:rsidR="00F1733F">
        <w:rPr>
          <w:rFonts w:asciiTheme="minorHAnsi" w:hAnsiTheme="minorHAnsi" w:cs="Arial"/>
          <w:sz w:val="20"/>
          <w:szCs w:val="20"/>
        </w:rPr>
        <w:t xml:space="preserve">je nezbytné dořešit převod vlastnictví pozemků z majetku města. </w:t>
      </w:r>
    </w:p>
    <w:p w14:paraId="04FA94C5" w14:textId="63F4C9E4" w:rsidR="00350045" w:rsidRPr="005F4E4B" w:rsidRDefault="00350045" w:rsidP="00F9378D">
      <w:pPr>
        <w:pStyle w:val="Zkladntext"/>
        <w:spacing w:after="120"/>
        <w:rPr>
          <w:rFonts w:asciiTheme="minorHAnsi" w:hAnsiTheme="minorHAnsi" w:cs="Arial"/>
          <w:sz w:val="20"/>
          <w:szCs w:val="20"/>
        </w:rPr>
      </w:pPr>
    </w:p>
    <w:p w14:paraId="1C2A09DB" w14:textId="77777777" w:rsidR="008337CA" w:rsidRPr="005F4E4B" w:rsidRDefault="008337CA" w:rsidP="008337CA">
      <w:pPr>
        <w:jc w:val="both"/>
        <w:rPr>
          <w:rFonts w:asciiTheme="minorHAnsi" w:hAnsiTheme="minorHAnsi"/>
          <w:b/>
          <w:sz w:val="20"/>
          <w:szCs w:val="20"/>
        </w:rPr>
      </w:pPr>
      <w:r w:rsidRPr="005F4E4B">
        <w:rPr>
          <w:rFonts w:asciiTheme="minorHAnsi" w:hAnsiTheme="minorHAnsi"/>
          <w:b/>
          <w:sz w:val="20"/>
          <w:szCs w:val="20"/>
        </w:rPr>
        <w:t xml:space="preserve">Investiční a udržovací akce v areálu MSIC </w:t>
      </w:r>
    </w:p>
    <w:p w14:paraId="13C8EA8E" w14:textId="56C879C8" w:rsidR="008337CA" w:rsidRPr="005F4E4B" w:rsidRDefault="00F9378D" w:rsidP="00F9378D">
      <w:pPr>
        <w:tabs>
          <w:tab w:val="left" w:pos="3636"/>
        </w:tabs>
        <w:jc w:val="both"/>
        <w:rPr>
          <w:rFonts w:asciiTheme="minorHAnsi" w:hAnsiTheme="minorHAnsi"/>
          <w:b/>
          <w:sz w:val="20"/>
          <w:szCs w:val="20"/>
        </w:rPr>
      </w:pPr>
      <w:r w:rsidRPr="005F4E4B">
        <w:rPr>
          <w:rFonts w:asciiTheme="minorHAnsi" w:hAnsiTheme="minorHAnsi"/>
          <w:b/>
          <w:sz w:val="20"/>
          <w:szCs w:val="20"/>
        </w:rPr>
        <w:tab/>
      </w:r>
    </w:p>
    <w:p w14:paraId="4B2134EC" w14:textId="249057D7" w:rsidR="00D73FC3" w:rsidRDefault="00D73FC3" w:rsidP="003C435E">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na přelomu</w:t>
      </w:r>
      <w:r w:rsidR="00880F7C">
        <w:rPr>
          <w:rFonts w:asciiTheme="minorHAnsi" w:hAnsiTheme="minorHAnsi" w:cs="Arial"/>
          <w:sz w:val="20"/>
          <w:szCs w:val="20"/>
        </w:rPr>
        <w:t xml:space="preserve"> měsíců</w:t>
      </w:r>
      <w:r>
        <w:rPr>
          <w:rFonts w:asciiTheme="minorHAnsi" w:hAnsiTheme="minorHAnsi" w:cs="Arial"/>
          <w:sz w:val="20"/>
          <w:szCs w:val="20"/>
        </w:rPr>
        <w:t xml:space="preserve"> </w:t>
      </w:r>
      <w:r w:rsidR="007D6B2E">
        <w:rPr>
          <w:rFonts w:asciiTheme="minorHAnsi" w:hAnsiTheme="minorHAnsi" w:cs="Arial"/>
          <w:sz w:val="20"/>
          <w:szCs w:val="20"/>
        </w:rPr>
        <w:t>srpna a září 2020</w:t>
      </w:r>
      <w:r>
        <w:rPr>
          <w:rFonts w:asciiTheme="minorHAnsi" w:hAnsiTheme="minorHAnsi" w:cs="Arial"/>
          <w:sz w:val="20"/>
          <w:szCs w:val="20"/>
        </w:rPr>
        <w:t xml:space="preserve"> byla dokončena celková rekonstrukce střechy na budově PIANO </w:t>
      </w:r>
      <w:r w:rsidRPr="005F4E4B">
        <w:rPr>
          <w:rFonts w:asciiTheme="minorHAnsi" w:hAnsiTheme="minorHAnsi" w:cs="Arial"/>
          <w:sz w:val="20"/>
          <w:szCs w:val="20"/>
        </w:rPr>
        <w:t xml:space="preserve">v hodnotě </w:t>
      </w:r>
      <w:r w:rsidR="00E10D53">
        <w:rPr>
          <w:rFonts w:asciiTheme="minorHAnsi" w:hAnsiTheme="minorHAnsi" w:cs="Arial"/>
          <w:sz w:val="20"/>
          <w:szCs w:val="20"/>
        </w:rPr>
        <w:br/>
      </w:r>
      <w:r w:rsidRPr="005F4E4B">
        <w:rPr>
          <w:rFonts w:asciiTheme="minorHAnsi" w:hAnsiTheme="minorHAnsi" w:cs="Arial"/>
          <w:sz w:val="20"/>
          <w:szCs w:val="20"/>
        </w:rPr>
        <w:t>6,289 mil. Kč vč. DPH</w:t>
      </w:r>
      <w:r>
        <w:rPr>
          <w:rFonts w:asciiTheme="minorHAnsi" w:hAnsiTheme="minorHAnsi" w:cs="Arial"/>
          <w:sz w:val="20"/>
          <w:szCs w:val="20"/>
        </w:rPr>
        <w:t>.</w:t>
      </w:r>
    </w:p>
    <w:p w14:paraId="1DDB14D1" w14:textId="14EA7007" w:rsidR="008337CA" w:rsidRPr="005F4E4B" w:rsidRDefault="008337CA" w:rsidP="003C435E">
      <w:pPr>
        <w:pStyle w:val="Zkladntext"/>
        <w:numPr>
          <w:ilvl w:val="0"/>
          <w:numId w:val="2"/>
        </w:numPr>
        <w:spacing w:after="120"/>
        <w:ind w:left="284" w:hanging="284"/>
        <w:rPr>
          <w:rFonts w:asciiTheme="minorHAnsi" w:hAnsiTheme="minorHAnsi" w:cs="Arial"/>
          <w:sz w:val="20"/>
          <w:szCs w:val="20"/>
        </w:rPr>
      </w:pPr>
      <w:r w:rsidRPr="005F4E4B">
        <w:rPr>
          <w:rFonts w:asciiTheme="minorHAnsi" w:hAnsiTheme="minorHAnsi" w:cs="Arial"/>
          <w:sz w:val="20"/>
          <w:szCs w:val="20"/>
        </w:rPr>
        <w:t xml:space="preserve">vzhledem k plánovanému vkladu multifunkčních budov PIANO a TANDEM do majetku MSIC byly ze strany města s výjimkou nutných oprav a menších akcí k vybavení budov za účelem umožnění jejich řádného pronájmu </w:t>
      </w:r>
      <w:r w:rsidR="00880F7C">
        <w:rPr>
          <w:rFonts w:asciiTheme="minorHAnsi" w:hAnsiTheme="minorHAnsi" w:cs="Arial"/>
          <w:sz w:val="20"/>
          <w:szCs w:val="20"/>
        </w:rPr>
        <w:t xml:space="preserve">další </w:t>
      </w:r>
      <w:r w:rsidR="00D73FC3">
        <w:rPr>
          <w:rFonts w:asciiTheme="minorHAnsi" w:hAnsiTheme="minorHAnsi" w:cs="Arial"/>
          <w:sz w:val="20"/>
          <w:szCs w:val="20"/>
        </w:rPr>
        <w:t>investiční akce na objektech pozastaveny</w:t>
      </w:r>
      <w:r w:rsidR="00D9047E" w:rsidRPr="005F4E4B">
        <w:rPr>
          <w:rFonts w:asciiTheme="minorHAnsi" w:hAnsiTheme="minorHAnsi" w:cs="Arial"/>
          <w:sz w:val="20"/>
          <w:szCs w:val="20"/>
        </w:rPr>
        <w:t>.</w:t>
      </w:r>
      <w:r w:rsidRPr="005F4E4B">
        <w:rPr>
          <w:rFonts w:asciiTheme="minorHAnsi" w:hAnsiTheme="minorHAnsi" w:cs="Arial"/>
          <w:sz w:val="20"/>
          <w:szCs w:val="20"/>
        </w:rPr>
        <w:t xml:space="preserve">  </w:t>
      </w:r>
    </w:p>
    <w:p w14:paraId="1FBB2DC7" w14:textId="77777777" w:rsidR="004054F0" w:rsidRDefault="004054F0" w:rsidP="00D6729E">
      <w:pPr>
        <w:ind w:left="284"/>
        <w:jc w:val="both"/>
        <w:rPr>
          <w:rFonts w:asciiTheme="minorHAnsi" w:hAnsiTheme="minorHAnsi"/>
          <w:sz w:val="20"/>
          <w:szCs w:val="20"/>
        </w:rPr>
      </w:pPr>
    </w:p>
    <w:p w14:paraId="6AD7FD56" w14:textId="77777777" w:rsidR="001615CD" w:rsidRDefault="001615CD" w:rsidP="00E107BC">
      <w:pPr>
        <w:ind w:left="284"/>
        <w:jc w:val="both"/>
        <w:rPr>
          <w:rFonts w:asciiTheme="minorHAnsi" w:hAnsiTheme="minorHAnsi"/>
          <w:sz w:val="20"/>
          <w:szCs w:val="20"/>
        </w:rPr>
      </w:pPr>
    </w:p>
    <w:sectPr w:rsidR="001615CD" w:rsidSect="00345E13">
      <w:footerReference w:type="even" r:id="rId8"/>
      <w:footerReference w:type="default" r:id="rId9"/>
      <w:pgSz w:w="11906" w:h="16838"/>
      <w:pgMar w:top="1134" w:right="1134" w:bottom="1134" w:left="1134" w:header="709" w:footer="125"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3164" w16cex:dateUtc="2020-08-18T08:52:00Z"/>
  <w16cex:commentExtensible w16cex:durableId="22E63181" w16cex:dateUtc="2020-08-18T08:52:00Z"/>
  <w16cex:commentExtensible w16cex:durableId="22E631B1" w16cex:dateUtc="2020-08-18T08:53:00Z"/>
  <w16cex:commentExtensible w16cex:durableId="22E632EB" w16cex:dateUtc="2020-08-18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BB00" w14:textId="77777777" w:rsidR="009008AB" w:rsidRDefault="009008AB">
      <w:r>
        <w:separator/>
      </w:r>
    </w:p>
  </w:endnote>
  <w:endnote w:type="continuationSeparator" w:id="0">
    <w:p w14:paraId="01B4C036" w14:textId="77777777" w:rsidR="009008AB" w:rsidRDefault="0090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wis721 LtCn BT">
    <w:altName w:val="Calibri"/>
    <w:panose1 w:val="020B0406020202030204"/>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9F14" w14:textId="77777777" w:rsidR="001C4513" w:rsidRDefault="001C451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7B48D0A" w14:textId="77777777" w:rsidR="001C4513" w:rsidRDefault="001C451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01621"/>
      <w:docPartObj>
        <w:docPartGallery w:val="Page Numbers (Bottom of Page)"/>
        <w:docPartUnique/>
      </w:docPartObj>
    </w:sdtPr>
    <w:sdtEndPr/>
    <w:sdtContent>
      <w:p w14:paraId="13BEE921" w14:textId="77777777" w:rsidR="001C4513" w:rsidRDefault="001C4513">
        <w:pPr>
          <w:pStyle w:val="Zpat"/>
          <w:jc w:val="right"/>
        </w:pPr>
        <w:r w:rsidRPr="00207613">
          <w:rPr>
            <w:sz w:val="20"/>
            <w:szCs w:val="20"/>
          </w:rPr>
          <w:fldChar w:fldCharType="begin"/>
        </w:r>
        <w:r w:rsidRPr="00207613">
          <w:rPr>
            <w:sz w:val="20"/>
            <w:szCs w:val="20"/>
          </w:rPr>
          <w:instrText>PAGE   \* MERGEFORMAT</w:instrText>
        </w:r>
        <w:r w:rsidRPr="00207613">
          <w:rPr>
            <w:sz w:val="20"/>
            <w:szCs w:val="20"/>
          </w:rPr>
          <w:fldChar w:fldCharType="separate"/>
        </w:r>
        <w:r w:rsidR="00CC1C92">
          <w:rPr>
            <w:noProof/>
            <w:sz w:val="20"/>
            <w:szCs w:val="20"/>
          </w:rPr>
          <w:t>7</w:t>
        </w:r>
        <w:r w:rsidRPr="00207613">
          <w:rPr>
            <w:sz w:val="20"/>
            <w:szCs w:val="20"/>
          </w:rPr>
          <w:fldChar w:fldCharType="end"/>
        </w:r>
      </w:p>
    </w:sdtContent>
  </w:sdt>
  <w:p w14:paraId="1E02473F" w14:textId="77777777" w:rsidR="001C4513" w:rsidRDefault="001C451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8F725" w14:textId="77777777" w:rsidR="009008AB" w:rsidRDefault="009008AB">
      <w:r>
        <w:separator/>
      </w:r>
    </w:p>
  </w:footnote>
  <w:footnote w:type="continuationSeparator" w:id="0">
    <w:p w14:paraId="57CF92E7" w14:textId="77777777" w:rsidR="009008AB" w:rsidRDefault="0090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7F7"/>
    <w:multiLevelType w:val="hybridMultilevel"/>
    <w:tmpl w:val="82A0C3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6565A"/>
    <w:multiLevelType w:val="hybridMultilevel"/>
    <w:tmpl w:val="E2BCD144"/>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5C2EF4"/>
    <w:multiLevelType w:val="hybridMultilevel"/>
    <w:tmpl w:val="F146AC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92F66"/>
    <w:multiLevelType w:val="hybridMultilevel"/>
    <w:tmpl w:val="CDD86D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507554"/>
    <w:multiLevelType w:val="hybridMultilevel"/>
    <w:tmpl w:val="C67C0BC6"/>
    <w:lvl w:ilvl="0" w:tplc="EAF2F8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DC6EDA"/>
    <w:multiLevelType w:val="hybridMultilevel"/>
    <w:tmpl w:val="66F64BDA"/>
    <w:lvl w:ilvl="0" w:tplc="73109AA2">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C4059F"/>
    <w:multiLevelType w:val="hybridMultilevel"/>
    <w:tmpl w:val="AA2A7B58"/>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647295"/>
    <w:multiLevelType w:val="hybridMultilevel"/>
    <w:tmpl w:val="0E6ED38A"/>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2B2BAE"/>
    <w:multiLevelType w:val="hybridMultilevel"/>
    <w:tmpl w:val="C366BC40"/>
    <w:lvl w:ilvl="0" w:tplc="B804F09A">
      <w:start w:val="1"/>
      <w:numFmt w:val="bullet"/>
      <w:lvlText w:val="-"/>
      <w:lvlJc w:val="left"/>
      <w:pPr>
        <w:ind w:left="720" w:hanging="360"/>
      </w:pPr>
      <w:rPr>
        <w:rFonts w:ascii="Swis721 LtCn BT" w:hAnsi="Swis721 LtCn B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211F75"/>
    <w:multiLevelType w:val="hybridMultilevel"/>
    <w:tmpl w:val="19CE51C8"/>
    <w:lvl w:ilvl="0" w:tplc="BE3ECA9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2B423549"/>
    <w:multiLevelType w:val="hybridMultilevel"/>
    <w:tmpl w:val="041AC98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C5A233B"/>
    <w:multiLevelType w:val="hybridMultilevel"/>
    <w:tmpl w:val="796ED916"/>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C21AAD"/>
    <w:multiLevelType w:val="hybridMultilevel"/>
    <w:tmpl w:val="FC20DC9E"/>
    <w:lvl w:ilvl="0" w:tplc="7264DEFC">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DFC5910"/>
    <w:multiLevelType w:val="hybridMultilevel"/>
    <w:tmpl w:val="E1C2728C"/>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4294785"/>
    <w:multiLevelType w:val="hybridMultilevel"/>
    <w:tmpl w:val="EB4080E6"/>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60E7370"/>
    <w:multiLevelType w:val="hybridMultilevel"/>
    <w:tmpl w:val="A6467588"/>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3060AE"/>
    <w:multiLevelType w:val="hybridMultilevel"/>
    <w:tmpl w:val="8C04F16E"/>
    <w:lvl w:ilvl="0" w:tplc="51B87B38">
      <w:start w:val="4"/>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7AD1816"/>
    <w:multiLevelType w:val="hybridMultilevel"/>
    <w:tmpl w:val="82102EE8"/>
    <w:lvl w:ilvl="0" w:tplc="04050005">
      <w:start w:val="1"/>
      <w:numFmt w:val="bullet"/>
      <w:lvlText w:val=""/>
      <w:lvlJc w:val="left"/>
      <w:pPr>
        <w:ind w:left="1004" w:hanging="360"/>
      </w:pPr>
      <w:rPr>
        <w:rFonts w:ascii="Wingdings" w:hAnsi="Wingdings"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DEA6BB7"/>
    <w:multiLevelType w:val="hybridMultilevel"/>
    <w:tmpl w:val="5600AA10"/>
    <w:lvl w:ilvl="0" w:tplc="FAEE01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23512"/>
    <w:multiLevelType w:val="hybridMultilevel"/>
    <w:tmpl w:val="87ECD9CC"/>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BD752D"/>
    <w:multiLevelType w:val="hybridMultilevel"/>
    <w:tmpl w:val="2362D06C"/>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385A3268">
      <w:start w:val="1"/>
      <w:numFmt w:val="bullet"/>
      <w:lvlText w:val=""/>
      <w:lvlJc w:val="left"/>
      <w:pPr>
        <w:ind w:left="1440" w:hanging="360"/>
      </w:pPr>
      <w:rPr>
        <w:rFonts w:ascii="Wingdings" w:hAnsi="Wingdings"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ED5BF2"/>
    <w:multiLevelType w:val="hybridMultilevel"/>
    <w:tmpl w:val="57802352"/>
    <w:lvl w:ilvl="0" w:tplc="4D508ABC">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A11337B"/>
    <w:multiLevelType w:val="hybridMultilevel"/>
    <w:tmpl w:val="434661AE"/>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1369A"/>
    <w:multiLevelType w:val="hybridMultilevel"/>
    <w:tmpl w:val="E9727C04"/>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03B1C3B"/>
    <w:multiLevelType w:val="hybridMultilevel"/>
    <w:tmpl w:val="999C9E5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21C303A"/>
    <w:multiLevelType w:val="hybridMultilevel"/>
    <w:tmpl w:val="25F47DFA"/>
    <w:lvl w:ilvl="0" w:tplc="2FE23CD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6135A9E"/>
    <w:multiLevelType w:val="hybridMultilevel"/>
    <w:tmpl w:val="F5EE7498"/>
    <w:lvl w:ilvl="0" w:tplc="5EAC490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0A4BB6"/>
    <w:multiLevelType w:val="hybridMultilevel"/>
    <w:tmpl w:val="8066718A"/>
    <w:lvl w:ilvl="0" w:tplc="7264DEFC">
      <w:start w:val="5"/>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15:restartNumberingAfterBreak="0">
    <w:nsid w:val="5B4F2F6B"/>
    <w:multiLevelType w:val="hybridMultilevel"/>
    <w:tmpl w:val="C504E1E0"/>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8F3FC2"/>
    <w:multiLevelType w:val="hybridMultilevel"/>
    <w:tmpl w:val="6DE8C0BC"/>
    <w:lvl w:ilvl="0" w:tplc="4D508ABC">
      <w:start w:val="1"/>
      <w:numFmt w:val="lowerLetter"/>
      <w:lvlText w:val="%1)"/>
      <w:lvlJc w:val="left"/>
      <w:pPr>
        <w:ind w:left="720" w:hanging="360"/>
      </w:pPr>
      <w:rPr>
        <w:rFonts w:asciiTheme="minorHAnsi" w:eastAsiaTheme="minorHAnsi" w:hAnsiTheme="minorHAnsi" w:cstheme="minorBidi"/>
      </w:rPr>
    </w:lvl>
    <w:lvl w:ilvl="1" w:tplc="7264DEFC">
      <w:start w:val="5"/>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C3C026C"/>
    <w:multiLevelType w:val="hybridMultilevel"/>
    <w:tmpl w:val="1070E1DE"/>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184699"/>
    <w:multiLevelType w:val="hybridMultilevel"/>
    <w:tmpl w:val="50041B78"/>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6AF6835"/>
    <w:multiLevelType w:val="hybridMultilevel"/>
    <w:tmpl w:val="6BFC046E"/>
    <w:lvl w:ilvl="0" w:tplc="51B87B38">
      <w:start w:val="4"/>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5"/>
  </w:num>
  <w:num w:numId="2">
    <w:abstractNumId w:val="32"/>
  </w:num>
  <w:num w:numId="3">
    <w:abstractNumId w:val="15"/>
  </w:num>
  <w:num w:numId="4">
    <w:abstractNumId w:val="1"/>
  </w:num>
  <w:num w:numId="5">
    <w:abstractNumId w:val="30"/>
  </w:num>
  <w:num w:numId="6">
    <w:abstractNumId w:val="2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2"/>
  </w:num>
  <w:num w:numId="13">
    <w:abstractNumId w:val="3"/>
  </w:num>
  <w:num w:numId="14">
    <w:abstractNumId w:val="11"/>
  </w:num>
  <w:num w:numId="15">
    <w:abstractNumId w:val="26"/>
  </w:num>
  <w:num w:numId="16">
    <w:abstractNumId w:val="14"/>
  </w:num>
  <w:num w:numId="17">
    <w:abstractNumId w:val="13"/>
  </w:num>
  <w:num w:numId="18">
    <w:abstractNumId w:val="31"/>
  </w:num>
  <w:num w:numId="19">
    <w:abstractNumId w:val="19"/>
  </w:num>
  <w:num w:numId="20">
    <w:abstractNumId w:val="23"/>
  </w:num>
  <w:num w:numId="21">
    <w:abstractNumId w:val="9"/>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10"/>
  </w:num>
  <w:num w:numId="27">
    <w:abstractNumId w:val="28"/>
  </w:num>
  <w:num w:numId="28">
    <w:abstractNumId w:val="2"/>
  </w:num>
  <w:num w:numId="29">
    <w:abstractNumId w:val="4"/>
  </w:num>
  <w:num w:numId="30">
    <w:abstractNumId w:val="16"/>
  </w:num>
  <w:num w:numId="31">
    <w:abstractNumId w:val="17"/>
  </w:num>
  <w:num w:numId="32">
    <w:abstractNumId w:val="22"/>
  </w:num>
  <w:num w:numId="33">
    <w:abstractNumId w:val="6"/>
  </w:num>
  <w:num w:numId="34">
    <w:abstractNumId w:val="8"/>
  </w:num>
  <w:num w:numId="35">
    <w:abstractNumId w:val="18"/>
  </w:num>
  <w:num w:numId="3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E"/>
    <w:rsid w:val="0000112B"/>
    <w:rsid w:val="000017CA"/>
    <w:rsid w:val="00003524"/>
    <w:rsid w:val="00003741"/>
    <w:rsid w:val="0000379C"/>
    <w:rsid w:val="0000470C"/>
    <w:rsid w:val="00004DAF"/>
    <w:rsid w:val="00006AC6"/>
    <w:rsid w:val="00006EB7"/>
    <w:rsid w:val="00007252"/>
    <w:rsid w:val="0000785B"/>
    <w:rsid w:val="00007D38"/>
    <w:rsid w:val="00010049"/>
    <w:rsid w:val="00011114"/>
    <w:rsid w:val="000122DF"/>
    <w:rsid w:val="000129AC"/>
    <w:rsid w:val="0001475E"/>
    <w:rsid w:val="000171BF"/>
    <w:rsid w:val="000177A2"/>
    <w:rsid w:val="00022566"/>
    <w:rsid w:val="00022B43"/>
    <w:rsid w:val="000239B1"/>
    <w:rsid w:val="00026396"/>
    <w:rsid w:val="0003022B"/>
    <w:rsid w:val="00030701"/>
    <w:rsid w:val="00031C6D"/>
    <w:rsid w:val="0003202E"/>
    <w:rsid w:val="000320C0"/>
    <w:rsid w:val="000336C5"/>
    <w:rsid w:val="00034187"/>
    <w:rsid w:val="00034349"/>
    <w:rsid w:val="00034598"/>
    <w:rsid w:val="00036ABE"/>
    <w:rsid w:val="0004189D"/>
    <w:rsid w:val="00041912"/>
    <w:rsid w:val="00041AE8"/>
    <w:rsid w:val="00044AA8"/>
    <w:rsid w:val="00045996"/>
    <w:rsid w:val="00046894"/>
    <w:rsid w:val="0004737F"/>
    <w:rsid w:val="00051084"/>
    <w:rsid w:val="000510F1"/>
    <w:rsid w:val="000514CA"/>
    <w:rsid w:val="00051C8F"/>
    <w:rsid w:val="00052A6D"/>
    <w:rsid w:val="000542E7"/>
    <w:rsid w:val="00054ADE"/>
    <w:rsid w:val="000552A9"/>
    <w:rsid w:val="00055BDB"/>
    <w:rsid w:val="00057C02"/>
    <w:rsid w:val="00060B57"/>
    <w:rsid w:val="0006161E"/>
    <w:rsid w:val="00061679"/>
    <w:rsid w:val="000617F4"/>
    <w:rsid w:val="000622E9"/>
    <w:rsid w:val="0006253B"/>
    <w:rsid w:val="00063A96"/>
    <w:rsid w:val="00064113"/>
    <w:rsid w:val="000644D3"/>
    <w:rsid w:val="00064CBB"/>
    <w:rsid w:val="000651CD"/>
    <w:rsid w:val="000664D5"/>
    <w:rsid w:val="00066BD5"/>
    <w:rsid w:val="00066BDA"/>
    <w:rsid w:val="00066F3F"/>
    <w:rsid w:val="00067B7D"/>
    <w:rsid w:val="000701A6"/>
    <w:rsid w:val="000713A9"/>
    <w:rsid w:val="00073E97"/>
    <w:rsid w:val="00074263"/>
    <w:rsid w:val="0007525A"/>
    <w:rsid w:val="000759AE"/>
    <w:rsid w:val="0007605E"/>
    <w:rsid w:val="000763FD"/>
    <w:rsid w:val="0007701F"/>
    <w:rsid w:val="00077392"/>
    <w:rsid w:val="00077B0A"/>
    <w:rsid w:val="00077EA9"/>
    <w:rsid w:val="0008091C"/>
    <w:rsid w:val="00080B66"/>
    <w:rsid w:val="00081724"/>
    <w:rsid w:val="000818EF"/>
    <w:rsid w:val="000826A2"/>
    <w:rsid w:val="00086454"/>
    <w:rsid w:val="0008666F"/>
    <w:rsid w:val="00086D00"/>
    <w:rsid w:val="000871BC"/>
    <w:rsid w:val="000876FB"/>
    <w:rsid w:val="00090E6E"/>
    <w:rsid w:val="000917A9"/>
    <w:rsid w:val="0009187F"/>
    <w:rsid w:val="000939F0"/>
    <w:rsid w:val="00094ADC"/>
    <w:rsid w:val="00094B08"/>
    <w:rsid w:val="000957C0"/>
    <w:rsid w:val="00095834"/>
    <w:rsid w:val="00095ABF"/>
    <w:rsid w:val="000963A0"/>
    <w:rsid w:val="00097149"/>
    <w:rsid w:val="000978C0"/>
    <w:rsid w:val="000A04C8"/>
    <w:rsid w:val="000A04D4"/>
    <w:rsid w:val="000A4C9F"/>
    <w:rsid w:val="000A5289"/>
    <w:rsid w:val="000A53F7"/>
    <w:rsid w:val="000A55EC"/>
    <w:rsid w:val="000A5C7B"/>
    <w:rsid w:val="000A5FD9"/>
    <w:rsid w:val="000A65E9"/>
    <w:rsid w:val="000A7B43"/>
    <w:rsid w:val="000A7F1B"/>
    <w:rsid w:val="000A7F78"/>
    <w:rsid w:val="000B062F"/>
    <w:rsid w:val="000B34EA"/>
    <w:rsid w:val="000B3FA8"/>
    <w:rsid w:val="000B5DA1"/>
    <w:rsid w:val="000B6845"/>
    <w:rsid w:val="000B75D4"/>
    <w:rsid w:val="000B787C"/>
    <w:rsid w:val="000C0BC3"/>
    <w:rsid w:val="000C11DB"/>
    <w:rsid w:val="000C20D6"/>
    <w:rsid w:val="000C2424"/>
    <w:rsid w:val="000C24A4"/>
    <w:rsid w:val="000C2737"/>
    <w:rsid w:val="000C37D9"/>
    <w:rsid w:val="000C5B0C"/>
    <w:rsid w:val="000C6121"/>
    <w:rsid w:val="000C66AE"/>
    <w:rsid w:val="000C7883"/>
    <w:rsid w:val="000C7A0A"/>
    <w:rsid w:val="000D0518"/>
    <w:rsid w:val="000D1C2E"/>
    <w:rsid w:val="000D1C76"/>
    <w:rsid w:val="000D21F2"/>
    <w:rsid w:val="000D2A93"/>
    <w:rsid w:val="000D2F04"/>
    <w:rsid w:val="000D51FC"/>
    <w:rsid w:val="000D54DD"/>
    <w:rsid w:val="000D596F"/>
    <w:rsid w:val="000D5A57"/>
    <w:rsid w:val="000D5E55"/>
    <w:rsid w:val="000D63DD"/>
    <w:rsid w:val="000D74BC"/>
    <w:rsid w:val="000E12BA"/>
    <w:rsid w:val="000E2EE3"/>
    <w:rsid w:val="000E2FAA"/>
    <w:rsid w:val="000E4BD7"/>
    <w:rsid w:val="000E527E"/>
    <w:rsid w:val="000E7185"/>
    <w:rsid w:val="000E7C3D"/>
    <w:rsid w:val="000F0CB0"/>
    <w:rsid w:val="000F119F"/>
    <w:rsid w:val="000F13F2"/>
    <w:rsid w:val="000F15F7"/>
    <w:rsid w:val="000F1D4A"/>
    <w:rsid w:val="000F22DF"/>
    <w:rsid w:val="000F2835"/>
    <w:rsid w:val="000F2A8B"/>
    <w:rsid w:val="000F2D71"/>
    <w:rsid w:val="000F2E87"/>
    <w:rsid w:val="000F4835"/>
    <w:rsid w:val="000F59D1"/>
    <w:rsid w:val="000F5E5D"/>
    <w:rsid w:val="0010013A"/>
    <w:rsid w:val="00100547"/>
    <w:rsid w:val="00101774"/>
    <w:rsid w:val="0010387C"/>
    <w:rsid w:val="001048F9"/>
    <w:rsid w:val="001060C8"/>
    <w:rsid w:val="001106B6"/>
    <w:rsid w:val="0011090E"/>
    <w:rsid w:val="00111B74"/>
    <w:rsid w:val="00111EAF"/>
    <w:rsid w:val="001124D9"/>
    <w:rsid w:val="00114351"/>
    <w:rsid w:val="00116830"/>
    <w:rsid w:val="0011704B"/>
    <w:rsid w:val="0011799E"/>
    <w:rsid w:val="00117F47"/>
    <w:rsid w:val="001202FF"/>
    <w:rsid w:val="00120EDB"/>
    <w:rsid w:val="00121DD5"/>
    <w:rsid w:val="0012251A"/>
    <w:rsid w:val="00122B87"/>
    <w:rsid w:val="00123C84"/>
    <w:rsid w:val="00123DAB"/>
    <w:rsid w:val="00124CA4"/>
    <w:rsid w:val="00126E0E"/>
    <w:rsid w:val="0012720E"/>
    <w:rsid w:val="0012747F"/>
    <w:rsid w:val="00127565"/>
    <w:rsid w:val="00127E6F"/>
    <w:rsid w:val="001302FD"/>
    <w:rsid w:val="00130502"/>
    <w:rsid w:val="0013205F"/>
    <w:rsid w:val="00132351"/>
    <w:rsid w:val="001329D7"/>
    <w:rsid w:val="001329EB"/>
    <w:rsid w:val="00132A9B"/>
    <w:rsid w:val="00134306"/>
    <w:rsid w:val="001347AE"/>
    <w:rsid w:val="00135351"/>
    <w:rsid w:val="00135C64"/>
    <w:rsid w:val="0013634A"/>
    <w:rsid w:val="00136378"/>
    <w:rsid w:val="00136387"/>
    <w:rsid w:val="00136897"/>
    <w:rsid w:val="0014051A"/>
    <w:rsid w:val="00141085"/>
    <w:rsid w:val="00141E18"/>
    <w:rsid w:val="001428F7"/>
    <w:rsid w:val="00144AE1"/>
    <w:rsid w:val="00145360"/>
    <w:rsid w:val="00145B87"/>
    <w:rsid w:val="00146F81"/>
    <w:rsid w:val="00150821"/>
    <w:rsid w:val="00151DE9"/>
    <w:rsid w:val="001527C5"/>
    <w:rsid w:val="001529F8"/>
    <w:rsid w:val="00155F20"/>
    <w:rsid w:val="00156828"/>
    <w:rsid w:val="00156DBB"/>
    <w:rsid w:val="001601C3"/>
    <w:rsid w:val="001601E2"/>
    <w:rsid w:val="001615CD"/>
    <w:rsid w:val="00162117"/>
    <w:rsid w:val="0016330B"/>
    <w:rsid w:val="0016342A"/>
    <w:rsid w:val="00164DE4"/>
    <w:rsid w:val="001655A3"/>
    <w:rsid w:val="00165E88"/>
    <w:rsid w:val="00166E60"/>
    <w:rsid w:val="00167312"/>
    <w:rsid w:val="00167984"/>
    <w:rsid w:val="001679C5"/>
    <w:rsid w:val="00167F62"/>
    <w:rsid w:val="0017019E"/>
    <w:rsid w:val="00170C87"/>
    <w:rsid w:val="001724F9"/>
    <w:rsid w:val="00172526"/>
    <w:rsid w:val="00172939"/>
    <w:rsid w:val="00172E4D"/>
    <w:rsid w:val="001735DB"/>
    <w:rsid w:val="0017515A"/>
    <w:rsid w:val="00176060"/>
    <w:rsid w:val="00176F77"/>
    <w:rsid w:val="001771AD"/>
    <w:rsid w:val="0017772C"/>
    <w:rsid w:val="001777D3"/>
    <w:rsid w:val="00180C5B"/>
    <w:rsid w:val="00180D0E"/>
    <w:rsid w:val="00182158"/>
    <w:rsid w:val="00182169"/>
    <w:rsid w:val="0018402B"/>
    <w:rsid w:val="0018408B"/>
    <w:rsid w:val="001843F7"/>
    <w:rsid w:val="00185613"/>
    <w:rsid w:val="0018594B"/>
    <w:rsid w:val="00186369"/>
    <w:rsid w:val="001864C7"/>
    <w:rsid w:val="00187E78"/>
    <w:rsid w:val="001923D4"/>
    <w:rsid w:val="00193874"/>
    <w:rsid w:val="001939E8"/>
    <w:rsid w:val="00195843"/>
    <w:rsid w:val="001958A4"/>
    <w:rsid w:val="00195DF9"/>
    <w:rsid w:val="00196B55"/>
    <w:rsid w:val="0019743E"/>
    <w:rsid w:val="0019776C"/>
    <w:rsid w:val="00197A8D"/>
    <w:rsid w:val="00197E62"/>
    <w:rsid w:val="001A0D30"/>
    <w:rsid w:val="001A2821"/>
    <w:rsid w:val="001A28EC"/>
    <w:rsid w:val="001A315E"/>
    <w:rsid w:val="001A33C8"/>
    <w:rsid w:val="001A3592"/>
    <w:rsid w:val="001A4F19"/>
    <w:rsid w:val="001A59D1"/>
    <w:rsid w:val="001A5D7C"/>
    <w:rsid w:val="001A65A0"/>
    <w:rsid w:val="001B03AB"/>
    <w:rsid w:val="001B051A"/>
    <w:rsid w:val="001B0FFD"/>
    <w:rsid w:val="001B1004"/>
    <w:rsid w:val="001B1983"/>
    <w:rsid w:val="001B3985"/>
    <w:rsid w:val="001B6F35"/>
    <w:rsid w:val="001B727C"/>
    <w:rsid w:val="001B74DA"/>
    <w:rsid w:val="001B791B"/>
    <w:rsid w:val="001C04F3"/>
    <w:rsid w:val="001C069F"/>
    <w:rsid w:val="001C11E6"/>
    <w:rsid w:val="001C1BDA"/>
    <w:rsid w:val="001C2881"/>
    <w:rsid w:val="001C2AD9"/>
    <w:rsid w:val="001C2D6A"/>
    <w:rsid w:val="001C34BF"/>
    <w:rsid w:val="001C4513"/>
    <w:rsid w:val="001C4E9F"/>
    <w:rsid w:val="001C5F92"/>
    <w:rsid w:val="001C6345"/>
    <w:rsid w:val="001C6A82"/>
    <w:rsid w:val="001C6E07"/>
    <w:rsid w:val="001D03EE"/>
    <w:rsid w:val="001D130E"/>
    <w:rsid w:val="001D3A9B"/>
    <w:rsid w:val="001D422B"/>
    <w:rsid w:val="001D4377"/>
    <w:rsid w:val="001D46A1"/>
    <w:rsid w:val="001D4CDF"/>
    <w:rsid w:val="001D5F8F"/>
    <w:rsid w:val="001D61C1"/>
    <w:rsid w:val="001D6B71"/>
    <w:rsid w:val="001D73F5"/>
    <w:rsid w:val="001E08B9"/>
    <w:rsid w:val="001E1294"/>
    <w:rsid w:val="001E15BF"/>
    <w:rsid w:val="001E1DE6"/>
    <w:rsid w:val="001E22A0"/>
    <w:rsid w:val="001E242A"/>
    <w:rsid w:val="001E382B"/>
    <w:rsid w:val="001E474A"/>
    <w:rsid w:val="001E672B"/>
    <w:rsid w:val="001F18E3"/>
    <w:rsid w:val="001F1C78"/>
    <w:rsid w:val="001F347E"/>
    <w:rsid w:val="001F3596"/>
    <w:rsid w:val="001F3899"/>
    <w:rsid w:val="001F51A8"/>
    <w:rsid w:val="001F59A0"/>
    <w:rsid w:val="001F5B08"/>
    <w:rsid w:val="001F6825"/>
    <w:rsid w:val="001F6982"/>
    <w:rsid w:val="001F7CBE"/>
    <w:rsid w:val="002008CD"/>
    <w:rsid w:val="00200F52"/>
    <w:rsid w:val="002014E7"/>
    <w:rsid w:val="0020211C"/>
    <w:rsid w:val="00202173"/>
    <w:rsid w:val="002035A3"/>
    <w:rsid w:val="00204291"/>
    <w:rsid w:val="00204633"/>
    <w:rsid w:val="00204B3C"/>
    <w:rsid w:val="00205005"/>
    <w:rsid w:val="00205BFE"/>
    <w:rsid w:val="00207107"/>
    <w:rsid w:val="00207613"/>
    <w:rsid w:val="00207F1E"/>
    <w:rsid w:val="00210C7E"/>
    <w:rsid w:val="00211C15"/>
    <w:rsid w:val="002128F1"/>
    <w:rsid w:val="002137D2"/>
    <w:rsid w:val="00214F91"/>
    <w:rsid w:val="00215608"/>
    <w:rsid w:val="00215D18"/>
    <w:rsid w:val="00217EA4"/>
    <w:rsid w:val="0022064E"/>
    <w:rsid w:val="0022213E"/>
    <w:rsid w:val="0022230C"/>
    <w:rsid w:val="00222ECA"/>
    <w:rsid w:val="002238C3"/>
    <w:rsid w:val="0022442D"/>
    <w:rsid w:val="00225E1C"/>
    <w:rsid w:val="00226047"/>
    <w:rsid w:val="002303D8"/>
    <w:rsid w:val="00230436"/>
    <w:rsid w:val="00230DC1"/>
    <w:rsid w:val="00233162"/>
    <w:rsid w:val="00233C5A"/>
    <w:rsid w:val="00234D47"/>
    <w:rsid w:val="00234EF0"/>
    <w:rsid w:val="0023507D"/>
    <w:rsid w:val="0023508C"/>
    <w:rsid w:val="002359AC"/>
    <w:rsid w:val="00235FF7"/>
    <w:rsid w:val="00237638"/>
    <w:rsid w:val="00237C5E"/>
    <w:rsid w:val="00240237"/>
    <w:rsid w:val="002420F6"/>
    <w:rsid w:val="00242698"/>
    <w:rsid w:val="00242763"/>
    <w:rsid w:val="002439D0"/>
    <w:rsid w:val="00243F88"/>
    <w:rsid w:val="002445F5"/>
    <w:rsid w:val="002446CB"/>
    <w:rsid w:val="00245F1C"/>
    <w:rsid w:val="00246EB5"/>
    <w:rsid w:val="002476A9"/>
    <w:rsid w:val="00250E71"/>
    <w:rsid w:val="002516D4"/>
    <w:rsid w:val="00251D67"/>
    <w:rsid w:val="00253E3C"/>
    <w:rsid w:val="002541F8"/>
    <w:rsid w:val="00254341"/>
    <w:rsid w:val="002548C1"/>
    <w:rsid w:val="00254A9B"/>
    <w:rsid w:val="002600CB"/>
    <w:rsid w:val="0026026C"/>
    <w:rsid w:val="00260A42"/>
    <w:rsid w:val="00260EBF"/>
    <w:rsid w:val="00261C1C"/>
    <w:rsid w:val="00262994"/>
    <w:rsid w:val="00263245"/>
    <w:rsid w:val="002635FD"/>
    <w:rsid w:val="00264191"/>
    <w:rsid w:val="00264CBD"/>
    <w:rsid w:val="00264FD9"/>
    <w:rsid w:val="00266338"/>
    <w:rsid w:val="00267916"/>
    <w:rsid w:val="00270C30"/>
    <w:rsid w:val="00270EAD"/>
    <w:rsid w:val="00271985"/>
    <w:rsid w:val="00271BDD"/>
    <w:rsid w:val="00273044"/>
    <w:rsid w:val="0027305F"/>
    <w:rsid w:val="002755EA"/>
    <w:rsid w:val="002761C3"/>
    <w:rsid w:val="00277168"/>
    <w:rsid w:val="00277916"/>
    <w:rsid w:val="00280B0A"/>
    <w:rsid w:val="002830CF"/>
    <w:rsid w:val="002831EE"/>
    <w:rsid w:val="002834A3"/>
    <w:rsid w:val="00284072"/>
    <w:rsid w:val="0028473E"/>
    <w:rsid w:val="00284CCC"/>
    <w:rsid w:val="00284FB8"/>
    <w:rsid w:val="002907FE"/>
    <w:rsid w:val="00291B45"/>
    <w:rsid w:val="002925BF"/>
    <w:rsid w:val="00292AEC"/>
    <w:rsid w:val="00293067"/>
    <w:rsid w:val="00293883"/>
    <w:rsid w:val="00293E2B"/>
    <w:rsid w:val="0029400C"/>
    <w:rsid w:val="002946A6"/>
    <w:rsid w:val="002A02BB"/>
    <w:rsid w:val="002A118E"/>
    <w:rsid w:val="002A4A04"/>
    <w:rsid w:val="002A4D72"/>
    <w:rsid w:val="002A594F"/>
    <w:rsid w:val="002A780A"/>
    <w:rsid w:val="002B0D3B"/>
    <w:rsid w:val="002B2279"/>
    <w:rsid w:val="002B239A"/>
    <w:rsid w:val="002B38B9"/>
    <w:rsid w:val="002B4039"/>
    <w:rsid w:val="002B48EB"/>
    <w:rsid w:val="002B57AE"/>
    <w:rsid w:val="002B69AC"/>
    <w:rsid w:val="002C15F0"/>
    <w:rsid w:val="002C2FD0"/>
    <w:rsid w:val="002C36AA"/>
    <w:rsid w:val="002C3AD2"/>
    <w:rsid w:val="002C657F"/>
    <w:rsid w:val="002C7126"/>
    <w:rsid w:val="002C75E5"/>
    <w:rsid w:val="002D214A"/>
    <w:rsid w:val="002D2F2B"/>
    <w:rsid w:val="002D4A15"/>
    <w:rsid w:val="002D4BDE"/>
    <w:rsid w:val="002D6820"/>
    <w:rsid w:val="002D706C"/>
    <w:rsid w:val="002E00AB"/>
    <w:rsid w:val="002E0818"/>
    <w:rsid w:val="002E1DA3"/>
    <w:rsid w:val="002E32A4"/>
    <w:rsid w:val="002E3C50"/>
    <w:rsid w:val="002E4FBD"/>
    <w:rsid w:val="002E6815"/>
    <w:rsid w:val="002E6EAD"/>
    <w:rsid w:val="002F0A65"/>
    <w:rsid w:val="002F0EDA"/>
    <w:rsid w:val="002F1CB6"/>
    <w:rsid w:val="002F209B"/>
    <w:rsid w:val="002F324C"/>
    <w:rsid w:val="002F3A9A"/>
    <w:rsid w:val="002F4497"/>
    <w:rsid w:val="002F4892"/>
    <w:rsid w:val="002F4A48"/>
    <w:rsid w:val="002F4E82"/>
    <w:rsid w:val="002F5232"/>
    <w:rsid w:val="002F593A"/>
    <w:rsid w:val="002F5FC9"/>
    <w:rsid w:val="002F66C1"/>
    <w:rsid w:val="002F67AC"/>
    <w:rsid w:val="002F7CB0"/>
    <w:rsid w:val="00300328"/>
    <w:rsid w:val="0030043E"/>
    <w:rsid w:val="00303DD2"/>
    <w:rsid w:val="00304668"/>
    <w:rsid w:val="00304928"/>
    <w:rsid w:val="003049C6"/>
    <w:rsid w:val="00306C78"/>
    <w:rsid w:val="00307E70"/>
    <w:rsid w:val="0031113E"/>
    <w:rsid w:val="00311399"/>
    <w:rsid w:val="00311FFD"/>
    <w:rsid w:val="00314637"/>
    <w:rsid w:val="00315842"/>
    <w:rsid w:val="00315BC8"/>
    <w:rsid w:val="003202BA"/>
    <w:rsid w:val="0032211F"/>
    <w:rsid w:val="0032279A"/>
    <w:rsid w:val="003250ED"/>
    <w:rsid w:val="00325650"/>
    <w:rsid w:val="00326683"/>
    <w:rsid w:val="003267DF"/>
    <w:rsid w:val="00331604"/>
    <w:rsid w:val="00332439"/>
    <w:rsid w:val="00332708"/>
    <w:rsid w:val="00332C45"/>
    <w:rsid w:val="00332F25"/>
    <w:rsid w:val="003332C9"/>
    <w:rsid w:val="00333587"/>
    <w:rsid w:val="00333CE9"/>
    <w:rsid w:val="00334572"/>
    <w:rsid w:val="003349CF"/>
    <w:rsid w:val="0034090E"/>
    <w:rsid w:val="0034092D"/>
    <w:rsid w:val="00340DE5"/>
    <w:rsid w:val="00341AFA"/>
    <w:rsid w:val="00341CBA"/>
    <w:rsid w:val="00342F59"/>
    <w:rsid w:val="0034306C"/>
    <w:rsid w:val="00344FED"/>
    <w:rsid w:val="00345E13"/>
    <w:rsid w:val="00346AD6"/>
    <w:rsid w:val="00347AE7"/>
    <w:rsid w:val="00347B13"/>
    <w:rsid w:val="00350045"/>
    <w:rsid w:val="00350BFE"/>
    <w:rsid w:val="00350EA6"/>
    <w:rsid w:val="0035146C"/>
    <w:rsid w:val="003518C5"/>
    <w:rsid w:val="003519BF"/>
    <w:rsid w:val="00351A7C"/>
    <w:rsid w:val="00351D99"/>
    <w:rsid w:val="00352FB3"/>
    <w:rsid w:val="0035512D"/>
    <w:rsid w:val="003557B4"/>
    <w:rsid w:val="00355B33"/>
    <w:rsid w:val="00356B9F"/>
    <w:rsid w:val="003572DC"/>
    <w:rsid w:val="00360033"/>
    <w:rsid w:val="003615D8"/>
    <w:rsid w:val="00361971"/>
    <w:rsid w:val="00362DD3"/>
    <w:rsid w:val="0036489C"/>
    <w:rsid w:val="003657AF"/>
    <w:rsid w:val="00365AAF"/>
    <w:rsid w:val="00365B4A"/>
    <w:rsid w:val="00365D39"/>
    <w:rsid w:val="003703B2"/>
    <w:rsid w:val="00371709"/>
    <w:rsid w:val="0037238D"/>
    <w:rsid w:val="0037336B"/>
    <w:rsid w:val="003735D4"/>
    <w:rsid w:val="00374896"/>
    <w:rsid w:val="00374A6A"/>
    <w:rsid w:val="0037582D"/>
    <w:rsid w:val="00376C28"/>
    <w:rsid w:val="0037711C"/>
    <w:rsid w:val="00377433"/>
    <w:rsid w:val="003778EE"/>
    <w:rsid w:val="00377C7C"/>
    <w:rsid w:val="00377DA5"/>
    <w:rsid w:val="00381EB8"/>
    <w:rsid w:val="00381F45"/>
    <w:rsid w:val="003826AA"/>
    <w:rsid w:val="003828A5"/>
    <w:rsid w:val="003833DB"/>
    <w:rsid w:val="00386299"/>
    <w:rsid w:val="0038776A"/>
    <w:rsid w:val="0039031E"/>
    <w:rsid w:val="00390513"/>
    <w:rsid w:val="00391722"/>
    <w:rsid w:val="0039246F"/>
    <w:rsid w:val="0039433B"/>
    <w:rsid w:val="003943CE"/>
    <w:rsid w:val="00394B8F"/>
    <w:rsid w:val="0039559C"/>
    <w:rsid w:val="003956A0"/>
    <w:rsid w:val="003961F8"/>
    <w:rsid w:val="003A0039"/>
    <w:rsid w:val="003A0B35"/>
    <w:rsid w:val="003A14D8"/>
    <w:rsid w:val="003A192F"/>
    <w:rsid w:val="003A28A2"/>
    <w:rsid w:val="003B086D"/>
    <w:rsid w:val="003B0A5B"/>
    <w:rsid w:val="003B0B41"/>
    <w:rsid w:val="003B153C"/>
    <w:rsid w:val="003B1A89"/>
    <w:rsid w:val="003B688A"/>
    <w:rsid w:val="003B7846"/>
    <w:rsid w:val="003C0955"/>
    <w:rsid w:val="003C16DE"/>
    <w:rsid w:val="003C1F3A"/>
    <w:rsid w:val="003C28E9"/>
    <w:rsid w:val="003C32F1"/>
    <w:rsid w:val="003C34D8"/>
    <w:rsid w:val="003C3D75"/>
    <w:rsid w:val="003C414C"/>
    <w:rsid w:val="003C4F32"/>
    <w:rsid w:val="003C63C3"/>
    <w:rsid w:val="003C64FA"/>
    <w:rsid w:val="003C6E1B"/>
    <w:rsid w:val="003C7573"/>
    <w:rsid w:val="003C7E75"/>
    <w:rsid w:val="003D0E95"/>
    <w:rsid w:val="003D11D9"/>
    <w:rsid w:val="003D19D5"/>
    <w:rsid w:val="003D5651"/>
    <w:rsid w:val="003D7EC8"/>
    <w:rsid w:val="003E06AE"/>
    <w:rsid w:val="003E0A69"/>
    <w:rsid w:val="003E0DAB"/>
    <w:rsid w:val="003E0EF1"/>
    <w:rsid w:val="003E17C6"/>
    <w:rsid w:val="003E2F77"/>
    <w:rsid w:val="003E3C3F"/>
    <w:rsid w:val="003E3D71"/>
    <w:rsid w:val="003E3D81"/>
    <w:rsid w:val="003E3E7B"/>
    <w:rsid w:val="003E4457"/>
    <w:rsid w:val="003E4547"/>
    <w:rsid w:val="003E5D82"/>
    <w:rsid w:val="003E5FB0"/>
    <w:rsid w:val="003E63D6"/>
    <w:rsid w:val="003E7BED"/>
    <w:rsid w:val="003F022D"/>
    <w:rsid w:val="003F04E6"/>
    <w:rsid w:val="003F0C51"/>
    <w:rsid w:val="003F0F58"/>
    <w:rsid w:val="003F1088"/>
    <w:rsid w:val="003F2B0B"/>
    <w:rsid w:val="003F30AF"/>
    <w:rsid w:val="003F44E3"/>
    <w:rsid w:val="003F47D9"/>
    <w:rsid w:val="003F525E"/>
    <w:rsid w:val="003F529C"/>
    <w:rsid w:val="003F6093"/>
    <w:rsid w:val="003F6B6C"/>
    <w:rsid w:val="003F6CCE"/>
    <w:rsid w:val="003F7F95"/>
    <w:rsid w:val="004021DF"/>
    <w:rsid w:val="00402FFD"/>
    <w:rsid w:val="004041DA"/>
    <w:rsid w:val="004051BD"/>
    <w:rsid w:val="004054F0"/>
    <w:rsid w:val="00405C9A"/>
    <w:rsid w:val="004072D6"/>
    <w:rsid w:val="0040790A"/>
    <w:rsid w:val="0041006A"/>
    <w:rsid w:val="0041013C"/>
    <w:rsid w:val="00411570"/>
    <w:rsid w:val="00413BE1"/>
    <w:rsid w:val="00414287"/>
    <w:rsid w:val="00414826"/>
    <w:rsid w:val="00414D10"/>
    <w:rsid w:val="00415682"/>
    <w:rsid w:val="0041680A"/>
    <w:rsid w:val="00416876"/>
    <w:rsid w:val="004171C3"/>
    <w:rsid w:val="004203FE"/>
    <w:rsid w:val="00420A1C"/>
    <w:rsid w:val="004220EF"/>
    <w:rsid w:val="00422480"/>
    <w:rsid w:val="00422C63"/>
    <w:rsid w:val="00423179"/>
    <w:rsid w:val="004232EE"/>
    <w:rsid w:val="004246BE"/>
    <w:rsid w:val="00425204"/>
    <w:rsid w:val="00425661"/>
    <w:rsid w:val="0042591D"/>
    <w:rsid w:val="0042710B"/>
    <w:rsid w:val="00427A7D"/>
    <w:rsid w:val="0043163D"/>
    <w:rsid w:val="00431811"/>
    <w:rsid w:val="004325C4"/>
    <w:rsid w:val="00432C56"/>
    <w:rsid w:val="0043375F"/>
    <w:rsid w:val="004339DE"/>
    <w:rsid w:val="004356C0"/>
    <w:rsid w:val="00437727"/>
    <w:rsid w:val="00437E15"/>
    <w:rsid w:val="00440151"/>
    <w:rsid w:val="004402C8"/>
    <w:rsid w:val="00440435"/>
    <w:rsid w:val="0044176A"/>
    <w:rsid w:val="00441E56"/>
    <w:rsid w:val="00441F34"/>
    <w:rsid w:val="00442851"/>
    <w:rsid w:val="00442CA9"/>
    <w:rsid w:val="00443824"/>
    <w:rsid w:val="00443DF0"/>
    <w:rsid w:val="00444CE5"/>
    <w:rsid w:val="00446562"/>
    <w:rsid w:val="00446564"/>
    <w:rsid w:val="00446C0F"/>
    <w:rsid w:val="0044706F"/>
    <w:rsid w:val="00450D73"/>
    <w:rsid w:val="00450DAF"/>
    <w:rsid w:val="004520DA"/>
    <w:rsid w:val="00452A9B"/>
    <w:rsid w:val="00453072"/>
    <w:rsid w:val="00454043"/>
    <w:rsid w:val="0045491E"/>
    <w:rsid w:val="00454A1F"/>
    <w:rsid w:val="0045568D"/>
    <w:rsid w:val="00455FB5"/>
    <w:rsid w:val="00456DF0"/>
    <w:rsid w:val="00456E25"/>
    <w:rsid w:val="00457020"/>
    <w:rsid w:val="004577EC"/>
    <w:rsid w:val="00457F29"/>
    <w:rsid w:val="00461D99"/>
    <w:rsid w:val="00462244"/>
    <w:rsid w:val="004625A6"/>
    <w:rsid w:val="00463AF8"/>
    <w:rsid w:val="00464F79"/>
    <w:rsid w:val="00464F82"/>
    <w:rsid w:val="00465883"/>
    <w:rsid w:val="00465DE4"/>
    <w:rsid w:val="00465F16"/>
    <w:rsid w:val="00466D9E"/>
    <w:rsid w:val="0046743A"/>
    <w:rsid w:val="004702E2"/>
    <w:rsid w:val="00472059"/>
    <w:rsid w:val="004727F8"/>
    <w:rsid w:val="00474B8D"/>
    <w:rsid w:val="00474C52"/>
    <w:rsid w:val="00474D21"/>
    <w:rsid w:val="00475BE8"/>
    <w:rsid w:val="00476EB5"/>
    <w:rsid w:val="004771B7"/>
    <w:rsid w:val="004776CD"/>
    <w:rsid w:val="00477D23"/>
    <w:rsid w:val="00480269"/>
    <w:rsid w:val="0048041B"/>
    <w:rsid w:val="004806C5"/>
    <w:rsid w:val="00482145"/>
    <w:rsid w:val="004838C5"/>
    <w:rsid w:val="00484715"/>
    <w:rsid w:val="0048575E"/>
    <w:rsid w:val="004865D6"/>
    <w:rsid w:val="00490BD6"/>
    <w:rsid w:val="0049180F"/>
    <w:rsid w:val="004924CB"/>
    <w:rsid w:val="00492AF1"/>
    <w:rsid w:val="00494E86"/>
    <w:rsid w:val="004A1485"/>
    <w:rsid w:val="004A3050"/>
    <w:rsid w:val="004A3D84"/>
    <w:rsid w:val="004A4EEF"/>
    <w:rsid w:val="004A57BA"/>
    <w:rsid w:val="004A5870"/>
    <w:rsid w:val="004A7113"/>
    <w:rsid w:val="004A76F9"/>
    <w:rsid w:val="004A7F3C"/>
    <w:rsid w:val="004B05A2"/>
    <w:rsid w:val="004B2515"/>
    <w:rsid w:val="004B26CE"/>
    <w:rsid w:val="004B291B"/>
    <w:rsid w:val="004B2AD6"/>
    <w:rsid w:val="004B38B4"/>
    <w:rsid w:val="004B3F36"/>
    <w:rsid w:val="004B416F"/>
    <w:rsid w:val="004B4701"/>
    <w:rsid w:val="004B700F"/>
    <w:rsid w:val="004C07DC"/>
    <w:rsid w:val="004C0873"/>
    <w:rsid w:val="004C099B"/>
    <w:rsid w:val="004C2847"/>
    <w:rsid w:val="004C32D7"/>
    <w:rsid w:val="004C33B2"/>
    <w:rsid w:val="004C3494"/>
    <w:rsid w:val="004C35A5"/>
    <w:rsid w:val="004C4077"/>
    <w:rsid w:val="004C40F7"/>
    <w:rsid w:val="004C431C"/>
    <w:rsid w:val="004C45C0"/>
    <w:rsid w:val="004C4A1B"/>
    <w:rsid w:val="004C6264"/>
    <w:rsid w:val="004C6BD7"/>
    <w:rsid w:val="004C76EB"/>
    <w:rsid w:val="004D02D5"/>
    <w:rsid w:val="004D049E"/>
    <w:rsid w:val="004D0659"/>
    <w:rsid w:val="004D0E87"/>
    <w:rsid w:val="004D25C5"/>
    <w:rsid w:val="004D29E7"/>
    <w:rsid w:val="004D2D38"/>
    <w:rsid w:val="004D2F3D"/>
    <w:rsid w:val="004D3675"/>
    <w:rsid w:val="004D3943"/>
    <w:rsid w:val="004D59DF"/>
    <w:rsid w:val="004D6779"/>
    <w:rsid w:val="004D7B7F"/>
    <w:rsid w:val="004E0525"/>
    <w:rsid w:val="004E087D"/>
    <w:rsid w:val="004E0BC7"/>
    <w:rsid w:val="004E0D3C"/>
    <w:rsid w:val="004E1606"/>
    <w:rsid w:val="004E1E2E"/>
    <w:rsid w:val="004E2913"/>
    <w:rsid w:val="004E4B75"/>
    <w:rsid w:val="004E6E8A"/>
    <w:rsid w:val="004E70D0"/>
    <w:rsid w:val="004E7EA3"/>
    <w:rsid w:val="004F0193"/>
    <w:rsid w:val="004F10A0"/>
    <w:rsid w:val="004F361B"/>
    <w:rsid w:val="004F48D0"/>
    <w:rsid w:val="004F4D2B"/>
    <w:rsid w:val="004F6871"/>
    <w:rsid w:val="004F6E52"/>
    <w:rsid w:val="004F6F56"/>
    <w:rsid w:val="00500A6A"/>
    <w:rsid w:val="00502CC3"/>
    <w:rsid w:val="005032B0"/>
    <w:rsid w:val="0051016C"/>
    <w:rsid w:val="005131E2"/>
    <w:rsid w:val="0051331E"/>
    <w:rsid w:val="00515144"/>
    <w:rsid w:val="0051562F"/>
    <w:rsid w:val="0051670C"/>
    <w:rsid w:val="0051722A"/>
    <w:rsid w:val="00517356"/>
    <w:rsid w:val="00521EB5"/>
    <w:rsid w:val="00523780"/>
    <w:rsid w:val="0052387F"/>
    <w:rsid w:val="00523DBC"/>
    <w:rsid w:val="00526ADA"/>
    <w:rsid w:val="00527ACF"/>
    <w:rsid w:val="00530E80"/>
    <w:rsid w:val="0053154E"/>
    <w:rsid w:val="00533032"/>
    <w:rsid w:val="00534A49"/>
    <w:rsid w:val="00534D20"/>
    <w:rsid w:val="005358A4"/>
    <w:rsid w:val="00536814"/>
    <w:rsid w:val="00536DF4"/>
    <w:rsid w:val="0053797B"/>
    <w:rsid w:val="00543CA8"/>
    <w:rsid w:val="005440BD"/>
    <w:rsid w:val="00544834"/>
    <w:rsid w:val="00545FE2"/>
    <w:rsid w:val="00547309"/>
    <w:rsid w:val="005502A3"/>
    <w:rsid w:val="00550CE6"/>
    <w:rsid w:val="0055125D"/>
    <w:rsid w:val="005516BE"/>
    <w:rsid w:val="00551861"/>
    <w:rsid w:val="00551AAD"/>
    <w:rsid w:val="00553119"/>
    <w:rsid w:val="005536E3"/>
    <w:rsid w:val="00553709"/>
    <w:rsid w:val="00553AB9"/>
    <w:rsid w:val="005549D7"/>
    <w:rsid w:val="00555453"/>
    <w:rsid w:val="00556401"/>
    <w:rsid w:val="005612F0"/>
    <w:rsid w:val="00561402"/>
    <w:rsid w:val="005633D6"/>
    <w:rsid w:val="00563CF4"/>
    <w:rsid w:val="0056416E"/>
    <w:rsid w:val="00564BF6"/>
    <w:rsid w:val="00564E53"/>
    <w:rsid w:val="00565D5E"/>
    <w:rsid w:val="005665FC"/>
    <w:rsid w:val="00566EF5"/>
    <w:rsid w:val="00567EFA"/>
    <w:rsid w:val="0057035C"/>
    <w:rsid w:val="005705EF"/>
    <w:rsid w:val="005707F8"/>
    <w:rsid w:val="00571238"/>
    <w:rsid w:val="005734FD"/>
    <w:rsid w:val="0057384F"/>
    <w:rsid w:val="00574C6D"/>
    <w:rsid w:val="00574F07"/>
    <w:rsid w:val="00574F34"/>
    <w:rsid w:val="00575002"/>
    <w:rsid w:val="00575B0E"/>
    <w:rsid w:val="00576143"/>
    <w:rsid w:val="00576889"/>
    <w:rsid w:val="00576D2F"/>
    <w:rsid w:val="00577EB6"/>
    <w:rsid w:val="005801FD"/>
    <w:rsid w:val="00580782"/>
    <w:rsid w:val="00580B7B"/>
    <w:rsid w:val="00581BC9"/>
    <w:rsid w:val="00585518"/>
    <w:rsid w:val="00585E2A"/>
    <w:rsid w:val="005877AC"/>
    <w:rsid w:val="00590829"/>
    <w:rsid w:val="00590BC7"/>
    <w:rsid w:val="0059334E"/>
    <w:rsid w:val="00593B22"/>
    <w:rsid w:val="00593B7A"/>
    <w:rsid w:val="00594A2F"/>
    <w:rsid w:val="0059502A"/>
    <w:rsid w:val="005952B5"/>
    <w:rsid w:val="005956D0"/>
    <w:rsid w:val="00595B9A"/>
    <w:rsid w:val="005962C4"/>
    <w:rsid w:val="00597423"/>
    <w:rsid w:val="0059758B"/>
    <w:rsid w:val="00597FA0"/>
    <w:rsid w:val="005A10A4"/>
    <w:rsid w:val="005A2161"/>
    <w:rsid w:val="005A27ED"/>
    <w:rsid w:val="005A2CA3"/>
    <w:rsid w:val="005A34DA"/>
    <w:rsid w:val="005A40DB"/>
    <w:rsid w:val="005A4EAE"/>
    <w:rsid w:val="005A4FF7"/>
    <w:rsid w:val="005A50CA"/>
    <w:rsid w:val="005A5AF6"/>
    <w:rsid w:val="005A5B4C"/>
    <w:rsid w:val="005A71F9"/>
    <w:rsid w:val="005A7623"/>
    <w:rsid w:val="005B1E22"/>
    <w:rsid w:val="005B4E81"/>
    <w:rsid w:val="005B6F23"/>
    <w:rsid w:val="005B7A1C"/>
    <w:rsid w:val="005B7B60"/>
    <w:rsid w:val="005C01AC"/>
    <w:rsid w:val="005C0483"/>
    <w:rsid w:val="005C176B"/>
    <w:rsid w:val="005C2237"/>
    <w:rsid w:val="005C333C"/>
    <w:rsid w:val="005C376F"/>
    <w:rsid w:val="005C3C12"/>
    <w:rsid w:val="005C423A"/>
    <w:rsid w:val="005C53CA"/>
    <w:rsid w:val="005C59E1"/>
    <w:rsid w:val="005C7C86"/>
    <w:rsid w:val="005D073C"/>
    <w:rsid w:val="005D1A2A"/>
    <w:rsid w:val="005D1D6F"/>
    <w:rsid w:val="005D2B35"/>
    <w:rsid w:val="005D325E"/>
    <w:rsid w:val="005D3DD3"/>
    <w:rsid w:val="005D676F"/>
    <w:rsid w:val="005D7AE2"/>
    <w:rsid w:val="005E000A"/>
    <w:rsid w:val="005E06E1"/>
    <w:rsid w:val="005E38B5"/>
    <w:rsid w:val="005E3988"/>
    <w:rsid w:val="005E40B7"/>
    <w:rsid w:val="005E49D8"/>
    <w:rsid w:val="005E4E0B"/>
    <w:rsid w:val="005E55D7"/>
    <w:rsid w:val="005E5DFD"/>
    <w:rsid w:val="005E6003"/>
    <w:rsid w:val="005E7297"/>
    <w:rsid w:val="005E7EB0"/>
    <w:rsid w:val="005F1D6E"/>
    <w:rsid w:val="005F2A71"/>
    <w:rsid w:val="005F3C3F"/>
    <w:rsid w:val="005F3EC3"/>
    <w:rsid w:val="005F4E4B"/>
    <w:rsid w:val="005F500C"/>
    <w:rsid w:val="005F50A8"/>
    <w:rsid w:val="005F65F1"/>
    <w:rsid w:val="005F6656"/>
    <w:rsid w:val="005F7002"/>
    <w:rsid w:val="005F7DB4"/>
    <w:rsid w:val="0060068A"/>
    <w:rsid w:val="006019E4"/>
    <w:rsid w:val="00602638"/>
    <w:rsid w:val="0060284C"/>
    <w:rsid w:val="00603B0B"/>
    <w:rsid w:val="00604B14"/>
    <w:rsid w:val="006050CD"/>
    <w:rsid w:val="0060534D"/>
    <w:rsid w:val="006072C5"/>
    <w:rsid w:val="0060755C"/>
    <w:rsid w:val="006077D0"/>
    <w:rsid w:val="00607B97"/>
    <w:rsid w:val="0061042A"/>
    <w:rsid w:val="00611C97"/>
    <w:rsid w:val="0061378B"/>
    <w:rsid w:val="00614C92"/>
    <w:rsid w:val="0061611F"/>
    <w:rsid w:val="0061725F"/>
    <w:rsid w:val="006208A2"/>
    <w:rsid w:val="006230ED"/>
    <w:rsid w:val="00624851"/>
    <w:rsid w:val="00625113"/>
    <w:rsid w:val="00625729"/>
    <w:rsid w:val="006257A7"/>
    <w:rsid w:val="00626BD2"/>
    <w:rsid w:val="00626DE7"/>
    <w:rsid w:val="006272BF"/>
    <w:rsid w:val="006276DB"/>
    <w:rsid w:val="00631068"/>
    <w:rsid w:val="006316A7"/>
    <w:rsid w:val="0063188F"/>
    <w:rsid w:val="00631E5C"/>
    <w:rsid w:val="00632295"/>
    <w:rsid w:val="00633049"/>
    <w:rsid w:val="00633A91"/>
    <w:rsid w:val="006348C4"/>
    <w:rsid w:val="00634D40"/>
    <w:rsid w:val="00634E98"/>
    <w:rsid w:val="0063558F"/>
    <w:rsid w:val="00635DB1"/>
    <w:rsid w:val="00637346"/>
    <w:rsid w:val="00640C8D"/>
    <w:rsid w:val="006412DC"/>
    <w:rsid w:val="00642464"/>
    <w:rsid w:val="006447C2"/>
    <w:rsid w:val="00644D66"/>
    <w:rsid w:val="00645627"/>
    <w:rsid w:val="00645F2D"/>
    <w:rsid w:val="00646127"/>
    <w:rsid w:val="006464C7"/>
    <w:rsid w:val="006465FA"/>
    <w:rsid w:val="006468F1"/>
    <w:rsid w:val="00647FF7"/>
    <w:rsid w:val="00650741"/>
    <w:rsid w:val="00651055"/>
    <w:rsid w:val="00651197"/>
    <w:rsid w:val="00651888"/>
    <w:rsid w:val="00651D42"/>
    <w:rsid w:val="006521AA"/>
    <w:rsid w:val="0065365C"/>
    <w:rsid w:val="00653919"/>
    <w:rsid w:val="00653BC2"/>
    <w:rsid w:val="0065439E"/>
    <w:rsid w:val="0065546C"/>
    <w:rsid w:val="006558AE"/>
    <w:rsid w:val="00656435"/>
    <w:rsid w:val="00656DE3"/>
    <w:rsid w:val="00660292"/>
    <w:rsid w:val="006620EA"/>
    <w:rsid w:val="006628C4"/>
    <w:rsid w:val="00663A37"/>
    <w:rsid w:val="00663BD0"/>
    <w:rsid w:val="00663F4C"/>
    <w:rsid w:val="006648AF"/>
    <w:rsid w:val="0066495B"/>
    <w:rsid w:val="006656B7"/>
    <w:rsid w:val="00665BBD"/>
    <w:rsid w:val="00665C61"/>
    <w:rsid w:val="0066605B"/>
    <w:rsid w:val="00670110"/>
    <w:rsid w:val="00670A4E"/>
    <w:rsid w:val="00670F46"/>
    <w:rsid w:val="006725D0"/>
    <w:rsid w:val="00672A2D"/>
    <w:rsid w:val="00672BB6"/>
    <w:rsid w:val="00673C2A"/>
    <w:rsid w:val="00674469"/>
    <w:rsid w:val="006757E8"/>
    <w:rsid w:val="00675A17"/>
    <w:rsid w:val="00675EE3"/>
    <w:rsid w:val="00677ACC"/>
    <w:rsid w:val="006811BA"/>
    <w:rsid w:val="00681D10"/>
    <w:rsid w:val="006820D8"/>
    <w:rsid w:val="00682FD5"/>
    <w:rsid w:val="00684842"/>
    <w:rsid w:val="006848F6"/>
    <w:rsid w:val="00684986"/>
    <w:rsid w:val="006851F4"/>
    <w:rsid w:val="006858C4"/>
    <w:rsid w:val="00685E79"/>
    <w:rsid w:val="00686233"/>
    <w:rsid w:val="006876FF"/>
    <w:rsid w:val="0068780D"/>
    <w:rsid w:val="00690840"/>
    <w:rsid w:val="00690899"/>
    <w:rsid w:val="00690949"/>
    <w:rsid w:val="00690A0A"/>
    <w:rsid w:val="00691721"/>
    <w:rsid w:val="00692265"/>
    <w:rsid w:val="00692811"/>
    <w:rsid w:val="0069306F"/>
    <w:rsid w:val="0069351A"/>
    <w:rsid w:val="00693B49"/>
    <w:rsid w:val="00693F32"/>
    <w:rsid w:val="0069510E"/>
    <w:rsid w:val="0069691A"/>
    <w:rsid w:val="00696DDF"/>
    <w:rsid w:val="006971C4"/>
    <w:rsid w:val="0069761E"/>
    <w:rsid w:val="006A05DE"/>
    <w:rsid w:val="006A063B"/>
    <w:rsid w:val="006A1EEE"/>
    <w:rsid w:val="006A26FA"/>
    <w:rsid w:val="006A4132"/>
    <w:rsid w:val="006A59BA"/>
    <w:rsid w:val="006A6522"/>
    <w:rsid w:val="006A7E4A"/>
    <w:rsid w:val="006B165B"/>
    <w:rsid w:val="006B2EEA"/>
    <w:rsid w:val="006B46D4"/>
    <w:rsid w:val="006B63BE"/>
    <w:rsid w:val="006B6D01"/>
    <w:rsid w:val="006B7691"/>
    <w:rsid w:val="006B7DB0"/>
    <w:rsid w:val="006C113D"/>
    <w:rsid w:val="006C175F"/>
    <w:rsid w:val="006C18A8"/>
    <w:rsid w:val="006C295C"/>
    <w:rsid w:val="006C2AB4"/>
    <w:rsid w:val="006C33F5"/>
    <w:rsid w:val="006C4620"/>
    <w:rsid w:val="006C4A2D"/>
    <w:rsid w:val="006C608C"/>
    <w:rsid w:val="006C6502"/>
    <w:rsid w:val="006C6AAF"/>
    <w:rsid w:val="006C7746"/>
    <w:rsid w:val="006D14DE"/>
    <w:rsid w:val="006D214C"/>
    <w:rsid w:val="006D2B32"/>
    <w:rsid w:val="006D2CCC"/>
    <w:rsid w:val="006D350C"/>
    <w:rsid w:val="006D3527"/>
    <w:rsid w:val="006D5318"/>
    <w:rsid w:val="006D5BA3"/>
    <w:rsid w:val="006D5CBB"/>
    <w:rsid w:val="006D7535"/>
    <w:rsid w:val="006E002D"/>
    <w:rsid w:val="006E0030"/>
    <w:rsid w:val="006E0144"/>
    <w:rsid w:val="006E198E"/>
    <w:rsid w:val="006E1AF0"/>
    <w:rsid w:val="006E23E3"/>
    <w:rsid w:val="006E2D3D"/>
    <w:rsid w:val="006E39AE"/>
    <w:rsid w:val="006E42DC"/>
    <w:rsid w:val="006E4367"/>
    <w:rsid w:val="006E57B4"/>
    <w:rsid w:val="006E5C8B"/>
    <w:rsid w:val="006E62D5"/>
    <w:rsid w:val="006E7805"/>
    <w:rsid w:val="006E7822"/>
    <w:rsid w:val="006E782A"/>
    <w:rsid w:val="006E7A87"/>
    <w:rsid w:val="006F03FD"/>
    <w:rsid w:val="006F0A8A"/>
    <w:rsid w:val="006F3A94"/>
    <w:rsid w:val="006F52CA"/>
    <w:rsid w:val="006F5FF6"/>
    <w:rsid w:val="006F693B"/>
    <w:rsid w:val="006F6B53"/>
    <w:rsid w:val="006F722E"/>
    <w:rsid w:val="006F7575"/>
    <w:rsid w:val="00700D4C"/>
    <w:rsid w:val="00701621"/>
    <w:rsid w:val="00701C3B"/>
    <w:rsid w:val="00703795"/>
    <w:rsid w:val="0070564B"/>
    <w:rsid w:val="00705ADB"/>
    <w:rsid w:val="007060EF"/>
    <w:rsid w:val="00706DE7"/>
    <w:rsid w:val="00707A36"/>
    <w:rsid w:val="00712289"/>
    <w:rsid w:val="007128CA"/>
    <w:rsid w:val="0071306B"/>
    <w:rsid w:val="00713648"/>
    <w:rsid w:val="00713874"/>
    <w:rsid w:val="0071489C"/>
    <w:rsid w:val="007165F4"/>
    <w:rsid w:val="007167D1"/>
    <w:rsid w:val="00716A45"/>
    <w:rsid w:val="007170CD"/>
    <w:rsid w:val="00717A06"/>
    <w:rsid w:val="00717E84"/>
    <w:rsid w:val="00717FD9"/>
    <w:rsid w:val="0072018F"/>
    <w:rsid w:val="00720E4F"/>
    <w:rsid w:val="00721E32"/>
    <w:rsid w:val="00721F6D"/>
    <w:rsid w:val="00722661"/>
    <w:rsid w:val="00723365"/>
    <w:rsid w:val="007234B0"/>
    <w:rsid w:val="007240FA"/>
    <w:rsid w:val="0072481B"/>
    <w:rsid w:val="00724D5A"/>
    <w:rsid w:val="007253F4"/>
    <w:rsid w:val="00725476"/>
    <w:rsid w:val="0072563F"/>
    <w:rsid w:val="00725D9B"/>
    <w:rsid w:val="00726C79"/>
    <w:rsid w:val="00726E1F"/>
    <w:rsid w:val="0073084D"/>
    <w:rsid w:val="00730E5C"/>
    <w:rsid w:val="007312CD"/>
    <w:rsid w:val="0073280C"/>
    <w:rsid w:val="00732AFD"/>
    <w:rsid w:val="007347C7"/>
    <w:rsid w:val="00735016"/>
    <w:rsid w:val="00735723"/>
    <w:rsid w:val="007358E9"/>
    <w:rsid w:val="007359CA"/>
    <w:rsid w:val="0073666F"/>
    <w:rsid w:val="00736903"/>
    <w:rsid w:val="007372D3"/>
    <w:rsid w:val="00741FAD"/>
    <w:rsid w:val="00742660"/>
    <w:rsid w:val="00743DCF"/>
    <w:rsid w:val="00744337"/>
    <w:rsid w:val="00744FBA"/>
    <w:rsid w:val="0074514C"/>
    <w:rsid w:val="00745909"/>
    <w:rsid w:val="00747626"/>
    <w:rsid w:val="00747E51"/>
    <w:rsid w:val="0075166A"/>
    <w:rsid w:val="007518F0"/>
    <w:rsid w:val="007519B6"/>
    <w:rsid w:val="00751E91"/>
    <w:rsid w:val="00751F55"/>
    <w:rsid w:val="0075231A"/>
    <w:rsid w:val="0075265B"/>
    <w:rsid w:val="00753677"/>
    <w:rsid w:val="007536FF"/>
    <w:rsid w:val="00754110"/>
    <w:rsid w:val="00754FA7"/>
    <w:rsid w:val="007559E5"/>
    <w:rsid w:val="00755BD1"/>
    <w:rsid w:val="00756AFB"/>
    <w:rsid w:val="00756C6B"/>
    <w:rsid w:val="00757020"/>
    <w:rsid w:val="007602C3"/>
    <w:rsid w:val="00760992"/>
    <w:rsid w:val="00760A24"/>
    <w:rsid w:val="00762ABC"/>
    <w:rsid w:val="00762D6D"/>
    <w:rsid w:val="0076312F"/>
    <w:rsid w:val="00763160"/>
    <w:rsid w:val="007650BC"/>
    <w:rsid w:val="00766A64"/>
    <w:rsid w:val="00766B9B"/>
    <w:rsid w:val="00766F8D"/>
    <w:rsid w:val="00767641"/>
    <w:rsid w:val="007709F2"/>
    <w:rsid w:val="00770FC6"/>
    <w:rsid w:val="007754AB"/>
    <w:rsid w:val="0077742C"/>
    <w:rsid w:val="007779D0"/>
    <w:rsid w:val="00777C43"/>
    <w:rsid w:val="00777D55"/>
    <w:rsid w:val="00777FC1"/>
    <w:rsid w:val="007804C0"/>
    <w:rsid w:val="00781810"/>
    <w:rsid w:val="00781C01"/>
    <w:rsid w:val="00781E29"/>
    <w:rsid w:val="00782892"/>
    <w:rsid w:val="00782BD4"/>
    <w:rsid w:val="007832BE"/>
    <w:rsid w:val="007842FE"/>
    <w:rsid w:val="00784F5B"/>
    <w:rsid w:val="007854EB"/>
    <w:rsid w:val="00785E33"/>
    <w:rsid w:val="00786559"/>
    <w:rsid w:val="00786AA9"/>
    <w:rsid w:val="00786B02"/>
    <w:rsid w:val="007875BE"/>
    <w:rsid w:val="007879CA"/>
    <w:rsid w:val="007907B9"/>
    <w:rsid w:val="00790D67"/>
    <w:rsid w:val="007912C5"/>
    <w:rsid w:val="00793B47"/>
    <w:rsid w:val="00793EBD"/>
    <w:rsid w:val="00794D91"/>
    <w:rsid w:val="00794E98"/>
    <w:rsid w:val="00794FD4"/>
    <w:rsid w:val="007950BF"/>
    <w:rsid w:val="00795A85"/>
    <w:rsid w:val="00795CF8"/>
    <w:rsid w:val="007962A2"/>
    <w:rsid w:val="007963A3"/>
    <w:rsid w:val="00796AA3"/>
    <w:rsid w:val="0079753E"/>
    <w:rsid w:val="007A00EA"/>
    <w:rsid w:val="007A0693"/>
    <w:rsid w:val="007A111D"/>
    <w:rsid w:val="007A17E3"/>
    <w:rsid w:val="007A1D3F"/>
    <w:rsid w:val="007A3411"/>
    <w:rsid w:val="007A437A"/>
    <w:rsid w:val="007A5D46"/>
    <w:rsid w:val="007A642E"/>
    <w:rsid w:val="007A6732"/>
    <w:rsid w:val="007A72DA"/>
    <w:rsid w:val="007B06E4"/>
    <w:rsid w:val="007B11AD"/>
    <w:rsid w:val="007B2C1C"/>
    <w:rsid w:val="007B5540"/>
    <w:rsid w:val="007B756D"/>
    <w:rsid w:val="007C1BBC"/>
    <w:rsid w:val="007C2B9B"/>
    <w:rsid w:val="007C3D4B"/>
    <w:rsid w:val="007C56FF"/>
    <w:rsid w:val="007C78CD"/>
    <w:rsid w:val="007D03F0"/>
    <w:rsid w:val="007D072D"/>
    <w:rsid w:val="007D0CDD"/>
    <w:rsid w:val="007D0D40"/>
    <w:rsid w:val="007D1743"/>
    <w:rsid w:val="007D2C31"/>
    <w:rsid w:val="007D3CEA"/>
    <w:rsid w:val="007D46D5"/>
    <w:rsid w:val="007D6A32"/>
    <w:rsid w:val="007D6B2E"/>
    <w:rsid w:val="007D7484"/>
    <w:rsid w:val="007D796C"/>
    <w:rsid w:val="007D7CCE"/>
    <w:rsid w:val="007E0231"/>
    <w:rsid w:val="007E0236"/>
    <w:rsid w:val="007E0584"/>
    <w:rsid w:val="007E1812"/>
    <w:rsid w:val="007E3FCA"/>
    <w:rsid w:val="007E43E2"/>
    <w:rsid w:val="007E5FA4"/>
    <w:rsid w:val="007E64D3"/>
    <w:rsid w:val="007E6B07"/>
    <w:rsid w:val="007E7685"/>
    <w:rsid w:val="007F0634"/>
    <w:rsid w:val="007F1682"/>
    <w:rsid w:val="007F178A"/>
    <w:rsid w:val="007F1C44"/>
    <w:rsid w:val="007F2590"/>
    <w:rsid w:val="007F3169"/>
    <w:rsid w:val="007F42F2"/>
    <w:rsid w:val="007F53BF"/>
    <w:rsid w:val="007F56F4"/>
    <w:rsid w:val="007F610A"/>
    <w:rsid w:val="007F68A8"/>
    <w:rsid w:val="007F6CA6"/>
    <w:rsid w:val="007F6DDE"/>
    <w:rsid w:val="0080003C"/>
    <w:rsid w:val="00800DB9"/>
    <w:rsid w:val="008018B3"/>
    <w:rsid w:val="00802B4A"/>
    <w:rsid w:val="00802C84"/>
    <w:rsid w:val="008037F8"/>
    <w:rsid w:val="00803DC2"/>
    <w:rsid w:val="008045B8"/>
    <w:rsid w:val="00804BD6"/>
    <w:rsid w:val="00804D86"/>
    <w:rsid w:val="00804DAD"/>
    <w:rsid w:val="008070ED"/>
    <w:rsid w:val="00807376"/>
    <w:rsid w:val="00807D5B"/>
    <w:rsid w:val="00810795"/>
    <w:rsid w:val="0081090B"/>
    <w:rsid w:val="00810F06"/>
    <w:rsid w:val="00813401"/>
    <w:rsid w:val="008156DA"/>
    <w:rsid w:val="0081598D"/>
    <w:rsid w:val="008161B4"/>
    <w:rsid w:val="00817BE7"/>
    <w:rsid w:val="00817DBD"/>
    <w:rsid w:val="00817F80"/>
    <w:rsid w:val="0082039C"/>
    <w:rsid w:val="00820905"/>
    <w:rsid w:val="00820B60"/>
    <w:rsid w:val="0082105A"/>
    <w:rsid w:val="0082430E"/>
    <w:rsid w:val="00825EF2"/>
    <w:rsid w:val="008262CC"/>
    <w:rsid w:val="008300A3"/>
    <w:rsid w:val="008304AD"/>
    <w:rsid w:val="00830BC8"/>
    <w:rsid w:val="0083265B"/>
    <w:rsid w:val="0083310B"/>
    <w:rsid w:val="0083379A"/>
    <w:rsid w:val="008337CA"/>
    <w:rsid w:val="00835E7F"/>
    <w:rsid w:val="00836012"/>
    <w:rsid w:val="00840203"/>
    <w:rsid w:val="008404DD"/>
    <w:rsid w:val="00840D59"/>
    <w:rsid w:val="008419EB"/>
    <w:rsid w:val="00841BD9"/>
    <w:rsid w:val="00842F3E"/>
    <w:rsid w:val="008438D9"/>
    <w:rsid w:val="00843E43"/>
    <w:rsid w:val="00844924"/>
    <w:rsid w:val="008452E6"/>
    <w:rsid w:val="00845F43"/>
    <w:rsid w:val="00846362"/>
    <w:rsid w:val="0084636E"/>
    <w:rsid w:val="00846876"/>
    <w:rsid w:val="00847202"/>
    <w:rsid w:val="008501F3"/>
    <w:rsid w:val="00850BBC"/>
    <w:rsid w:val="0085176E"/>
    <w:rsid w:val="00852652"/>
    <w:rsid w:val="00852C1A"/>
    <w:rsid w:val="00855974"/>
    <w:rsid w:val="008560D6"/>
    <w:rsid w:val="00856DBC"/>
    <w:rsid w:val="00856F2A"/>
    <w:rsid w:val="00860A35"/>
    <w:rsid w:val="00862035"/>
    <w:rsid w:val="008623E2"/>
    <w:rsid w:val="00862812"/>
    <w:rsid w:val="0086335B"/>
    <w:rsid w:val="00863CD5"/>
    <w:rsid w:val="008640AA"/>
    <w:rsid w:val="00864919"/>
    <w:rsid w:val="00865D4C"/>
    <w:rsid w:val="00867B16"/>
    <w:rsid w:val="00870BE1"/>
    <w:rsid w:val="00870F18"/>
    <w:rsid w:val="00871256"/>
    <w:rsid w:val="008712D2"/>
    <w:rsid w:val="00871780"/>
    <w:rsid w:val="008725E0"/>
    <w:rsid w:val="00872801"/>
    <w:rsid w:val="00873947"/>
    <w:rsid w:val="00874898"/>
    <w:rsid w:val="00874A97"/>
    <w:rsid w:val="00875018"/>
    <w:rsid w:val="00875D7E"/>
    <w:rsid w:val="00876A61"/>
    <w:rsid w:val="00876C0E"/>
    <w:rsid w:val="008774C2"/>
    <w:rsid w:val="008777B7"/>
    <w:rsid w:val="00880550"/>
    <w:rsid w:val="00880F7C"/>
    <w:rsid w:val="008812F4"/>
    <w:rsid w:val="0088265F"/>
    <w:rsid w:val="00882C23"/>
    <w:rsid w:val="00882EC2"/>
    <w:rsid w:val="00884DBA"/>
    <w:rsid w:val="00884EAD"/>
    <w:rsid w:val="008857EB"/>
    <w:rsid w:val="00885911"/>
    <w:rsid w:val="008859E4"/>
    <w:rsid w:val="00886F1C"/>
    <w:rsid w:val="0089028B"/>
    <w:rsid w:val="00890F02"/>
    <w:rsid w:val="00891651"/>
    <w:rsid w:val="00892044"/>
    <w:rsid w:val="008926A3"/>
    <w:rsid w:val="00892FCA"/>
    <w:rsid w:val="0089313B"/>
    <w:rsid w:val="00894137"/>
    <w:rsid w:val="0089558D"/>
    <w:rsid w:val="008A011E"/>
    <w:rsid w:val="008A3C41"/>
    <w:rsid w:val="008A42ED"/>
    <w:rsid w:val="008A49DA"/>
    <w:rsid w:val="008A558F"/>
    <w:rsid w:val="008A6165"/>
    <w:rsid w:val="008A6CAE"/>
    <w:rsid w:val="008A7A12"/>
    <w:rsid w:val="008B1524"/>
    <w:rsid w:val="008B162B"/>
    <w:rsid w:val="008B3392"/>
    <w:rsid w:val="008B57C9"/>
    <w:rsid w:val="008B5897"/>
    <w:rsid w:val="008B5EF4"/>
    <w:rsid w:val="008B686D"/>
    <w:rsid w:val="008B7268"/>
    <w:rsid w:val="008B727A"/>
    <w:rsid w:val="008B7447"/>
    <w:rsid w:val="008C20A4"/>
    <w:rsid w:val="008C282D"/>
    <w:rsid w:val="008C34B4"/>
    <w:rsid w:val="008C3BF7"/>
    <w:rsid w:val="008C48B8"/>
    <w:rsid w:val="008C5080"/>
    <w:rsid w:val="008C6270"/>
    <w:rsid w:val="008C63F2"/>
    <w:rsid w:val="008D0C50"/>
    <w:rsid w:val="008D1A10"/>
    <w:rsid w:val="008D1B4E"/>
    <w:rsid w:val="008D29DD"/>
    <w:rsid w:val="008D2FB6"/>
    <w:rsid w:val="008D311E"/>
    <w:rsid w:val="008D3261"/>
    <w:rsid w:val="008D35E0"/>
    <w:rsid w:val="008D4CC9"/>
    <w:rsid w:val="008D5967"/>
    <w:rsid w:val="008D6945"/>
    <w:rsid w:val="008E264B"/>
    <w:rsid w:val="008E27DD"/>
    <w:rsid w:val="008E31E5"/>
    <w:rsid w:val="008E33DB"/>
    <w:rsid w:val="008E40D2"/>
    <w:rsid w:val="008E6F9D"/>
    <w:rsid w:val="008E75AE"/>
    <w:rsid w:val="008F17FA"/>
    <w:rsid w:val="008F294E"/>
    <w:rsid w:val="008F3F7E"/>
    <w:rsid w:val="008F4BA5"/>
    <w:rsid w:val="008F5024"/>
    <w:rsid w:val="008F5985"/>
    <w:rsid w:val="008F59DC"/>
    <w:rsid w:val="008F68EE"/>
    <w:rsid w:val="008F71EC"/>
    <w:rsid w:val="008F7350"/>
    <w:rsid w:val="008F7734"/>
    <w:rsid w:val="00900217"/>
    <w:rsid w:val="009008AB"/>
    <w:rsid w:val="00900DB9"/>
    <w:rsid w:val="00900EEB"/>
    <w:rsid w:val="00902A06"/>
    <w:rsid w:val="00903757"/>
    <w:rsid w:val="00903B57"/>
    <w:rsid w:val="00903B64"/>
    <w:rsid w:val="00904E24"/>
    <w:rsid w:val="00905494"/>
    <w:rsid w:val="009069D7"/>
    <w:rsid w:val="00906CE9"/>
    <w:rsid w:val="009071C1"/>
    <w:rsid w:val="00907A07"/>
    <w:rsid w:val="00907DFC"/>
    <w:rsid w:val="00910A6F"/>
    <w:rsid w:val="00911903"/>
    <w:rsid w:val="00911CAD"/>
    <w:rsid w:val="00912B9B"/>
    <w:rsid w:val="009130DF"/>
    <w:rsid w:val="009151FF"/>
    <w:rsid w:val="0091528B"/>
    <w:rsid w:val="009165D4"/>
    <w:rsid w:val="009173FA"/>
    <w:rsid w:val="0092180C"/>
    <w:rsid w:val="009222CD"/>
    <w:rsid w:val="009227FD"/>
    <w:rsid w:val="00924012"/>
    <w:rsid w:val="00925AF1"/>
    <w:rsid w:val="009260BA"/>
    <w:rsid w:val="00927EEE"/>
    <w:rsid w:val="00931CA8"/>
    <w:rsid w:val="00931EC0"/>
    <w:rsid w:val="00931F42"/>
    <w:rsid w:val="009333D0"/>
    <w:rsid w:val="009342FA"/>
    <w:rsid w:val="009367EC"/>
    <w:rsid w:val="00937B31"/>
    <w:rsid w:val="00940A27"/>
    <w:rsid w:val="0094145C"/>
    <w:rsid w:val="00942954"/>
    <w:rsid w:val="00942D38"/>
    <w:rsid w:val="009437DF"/>
    <w:rsid w:val="00945631"/>
    <w:rsid w:val="00945A07"/>
    <w:rsid w:val="00945CBD"/>
    <w:rsid w:val="00947D94"/>
    <w:rsid w:val="00947F42"/>
    <w:rsid w:val="009500C4"/>
    <w:rsid w:val="00950946"/>
    <w:rsid w:val="00950B11"/>
    <w:rsid w:val="00951104"/>
    <w:rsid w:val="009518F1"/>
    <w:rsid w:val="0095267E"/>
    <w:rsid w:val="00952A23"/>
    <w:rsid w:val="00953BFB"/>
    <w:rsid w:val="00954275"/>
    <w:rsid w:val="00954B94"/>
    <w:rsid w:val="00954F28"/>
    <w:rsid w:val="009552E7"/>
    <w:rsid w:val="00955377"/>
    <w:rsid w:val="00960555"/>
    <w:rsid w:val="00960B31"/>
    <w:rsid w:val="009612D5"/>
    <w:rsid w:val="00961806"/>
    <w:rsid w:val="0096247A"/>
    <w:rsid w:val="00964436"/>
    <w:rsid w:val="009648D0"/>
    <w:rsid w:val="009651F3"/>
    <w:rsid w:val="00965A90"/>
    <w:rsid w:val="00965B1D"/>
    <w:rsid w:val="00966059"/>
    <w:rsid w:val="0096632A"/>
    <w:rsid w:val="00966D2E"/>
    <w:rsid w:val="00970C47"/>
    <w:rsid w:val="00972774"/>
    <w:rsid w:val="00974B7F"/>
    <w:rsid w:val="00974CAD"/>
    <w:rsid w:val="0097579E"/>
    <w:rsid w:val="00976E12"/>
    <w:rsid w:val="00977476"/>
    <w:rsid w:val="009775A5"/>
    <w:rsid w:val="009804E9"/>
    <w:rsid w:val="009806B2"/>
    <w:rsid w:val="00980723"/>
    <w:rsid w:val="00981C7F"/>
    <w:rsid w:val="00981E3B"/>
    <w:rsid w:val="00981F68"/>
    <w:rsid w:val="00985C05"/>
    <w:rsid w:val="0098736D"/>
    <w:rsid w:val="009875CE"/>
    <w:rsid w:val="00987872"/>
    <w:rsid w:val="00991B39"/>
    <w:rsid w:val="0099281E"/>
    <w:rsid w:val="00993FF5"/>
    <w:rsid w:val="00994336"/>
    <w:rsid w:val="0099525E"/>
    <w:rsid w:val="00995261"/>
    <w:rsid w:val="00995C64"/>
    <w:rsid w:val="00995C69"/>
    <w:rsid w:val="0099665E"/>
    <w:rsid w:val="00996DAE"/>
    <w:rsid w:val="00997846"/>
    <w:rsid w:val="00997F53"/>
    <w:rsid w:val="009A005D"/>
    <w:rsid w:val="009A1A93"/>
    <w:rsid w:val="009A2023"/>
    <w:rsid w:val="009A3B5F"/>
    <w:rsid w:val="009A4D5F"/>
    <w:rsid w:val="009A4ED6"/>
    <w:rsid w:val="009A4F23"/>
    <w:rsid w:val="009A6888"/>
    <w:rsid w:val="009A69B8"/>
    <w:rsid w:val="009A6A79"/>
    <w:rsid w:val="009A7406"/>
    <w:rsid w:val="009A7A48"/>
    <w:rsid w:val="009A7E12"/>
    <w:rsid w:val="009B0816"/>
    <w:rsid w:val="009B260E"/>
    <w:rsid w:val="009B27A7"/>
    <w:rsid w:val="009B329A"/>
    <w:rsid w:val="009B3892"/>
    <w:rsid w:val="009B3F31"/>
    <w:rsid w:val="009B485F"/>
    <w:rsid w:val="009B4CDC"/>
    <w:rsid w:val="009B4D2C"/>
    <w:rsid w:val="009B53E6"/>
    <w:rsid w:val="009B5DBB"/>
    <w:rsid w:val="009B6766"/>
    <w:rsid w:val="009B7CE7"/>
    <w:rsid w:val="009C2394"/>
    <w:rsid w:val="009C2B0C"/>
    <w:rsid w:val="009C469F"/>
    <w:rsid w:val="009C47BE"/>
    <w:rsid w:val="009C4AA9"/>
    <w:rsid w:val="009C4DAE"/>
    <w:rsid w:val="009C4E6E"/>
    <w:rsid w:val="009C52AD"/>
    <w:rsid w:val="009C5B30"/>
    <w:rsid w:val="009C6EC8"/>
    <w:rsid w:val="009D020D"/>
    <w:rsid w:val="009D2D07"/>
    <w:rsid w:val="009D32C3"/>
    <w:rsid w:val="009D56EA"/>
    <w:rsid w:val="009E2CC1"/>
    <w:rsid w:val="009E2E03"/>
    <w:rsid w:val="009E30E3"/>
    <w:rsid w:val="009E5144"/>
    <w:rsid w:val="009E7EF6"/>
    <w:rsid w:val="009F18D3"/>
    <w:rsid w:val="009F2164"/>
    <w:rsid w:val="009F3122"/>
    <w:rsid w:val="009F4453"/>
    <w:rsid w:val="009F4E43"/>
    <w:rsid w:val="009F575E"/>
    <w:rsid w:val="00A000B1"/>
    <w:rsid w:val="00A01087"/>
    <w:rsid w:val="00A019C9"/>
    <w:rsid w:val="00A01E7C"/>
    <w:rsid w:val="00A0301E"/>
    <w:rsid w:val="00A03B11"/>
    <w:rsid w:val="00A041B2"/>
    <w:rsid w:val="00A04E33"/>
    <w:rsid w:val="00A04FEB"/>
    <w:rsid w:val="00A0601E"/>
    <w:rsid w:val="00A0643A"/>
    <w:rsid w:val="00A06E75"/>
    <w:rsid w:val="00A06EBA"/>
    <w:rsid w:val="00A073B9"/>
    <w:rsid w:val="00A07F90"/>
    <w:rsid w:val="00A1082B"/>
    <w:rsid w:val="00A10F9F"/>
    <w:rsid w:val="00A1128F"/>
    <w:rsid w:val="00A11CD1"/>
    <w:rsid w:val="00A12E6C"/>
    <w:rsid w:val="00A14E54"/>
    <w:rsid w:val="00A15E64"/>
    <w:rsid w:val="00A16C05"/>
    <w:rsid w:val="00A16CBE"/>
    <w:rsid w:val="00A16EF1"/>
    <w:rsid w:val="00A201E7"/>
    <w:rsid w:val="00A202B5"/>
    <w:rsid w:val="00A205A7"/>
    <w:rsid w:val="00A21AF7"/>
    <w:rsid w:val="00A2214F"/>
    <w:rsid w:val="00A236C9"/>
    <w:rsid w:val="00A23758"/>
    <w:rsid w:val="00A2404E"/>
    <w:rsid w:val="00A24510"/>
    <w:rsid w:val="00A24D44"/>
    <w:rsid w:val="00A25C13"/>
    <w:rsid w:val="00A2630B"/>
    <w:rsid w:val="00A26955"/>
    <w:rsid w:val="00A26FC6"/>
    <w:rsid w:val="00A26FFB"/>
    <w:rsid w:val="00A272C7"/>
    <w:rsid w:val="00A27766"/>
    <w:rsid w:val="00A305C6"/>
    <w:rsid w:val="00A3086B"/>
    <w:rsid w:val="00A30A5B"/>
    <w:rsid w:val="00A3229A"/>
    <w:rsid w:val="00A327EB"/>
    <w:rsid w:val="00A3327B"/>
    <w:rsid w:val="00A3351F"/>
    <w:rsid w:val="00A34C35"/>
    <w:rsid w:val="00A35FBD"/>
    <w:rsid w:val="00A36631"/>
    <w:rsid w:val="00A36B65"/>
    <w:rsid w:val="00A374A9"/>
    <w:rsid w:val="00A40D47"/>
    <w:rsid w:val="00A412BF"/>
    <w:rsid w:val="00A41587"/>
    <w:rsid w:val="00A430DF"/>
    <w:rsid w:val="00A4577D"/>
    <w:rsid w:val="00A47E94"/>
    <w:rsid w:val="00A5241B"/>
    <w:rsid w:val="00A5245E"/>
    <w:rsid w:val="00A5270F"/>
    <w:rsid w:val="00A52AF9"/>
    <w:rsid w:val="00A541FC"/>
    <w:rsid w:val="00A5471D"/>
    <w:rsid w:val="00A54FE1"/>
    <w:rsid w:val="00A55CE8"/>
    <w:rsid w:val="00A56AEC"/>
    <w:rsid w:val="00A60342"/>
    <w:rsid w:val="00A621FE"/>
    <w:rsid w:val="00A628C4"/>
    <w:rsid w:val="00A637E9"/>
    <w:rsid w:val="00A63FB7"/>
    <w:rsid w:val="00A65887"/>
    <w:rsid w:val="00A65B80"/>
    <w:rsid w:val="00A661BC"/>
    <w:rsid w:val="00A664A3"/>
    <w:rsid w:val="00A66BD2"/>
    <w:rsid w:val="00A67C11"/>
    <w:rsid w:val="00A67C2D"/>
    <w:rsid w:val="00A7060F"/>
    <w:rsid w:val="00A70849"/>
    <w:rsid w:val="00A71FC0"/>
    <w:rsid w:val="00A72AE6"/>
    <w:rsid w:val="00A73DC4"/>
    <w:rsid w:val="00A73E31"/>
    <w:rsid w:val="00A74306"/>
    <w:rsid w:val="00A7436B"/>
    <w:rsid w:val="00A746B1"/>
    <w:rsid w:val="00A7745C"/>
    <w:rsid w:val="00A80403"/>
    <w:rsid w:val="00A807E3"/>
    <w:rsid w:val="00A82089"/>
    <w:rsid w:val="00A825B3"/>
    <w:rsid w:val="00A82729"/>
    <w:rsid w:val="00A83CFA"/>
    <w:rsid w:val="00A848A0"/>
    <w:rsid w:val="00A85D29"/>
    <w:rsid w:val="00A87994"/>
    <w:rsid w:val="00A90126"/>
    <w:rsid w:val="00A90B1B"/>
    <w:rsid w:val="00A91A52"/>
    <w:rsid w:val="00A92751"/>
    <w:rsid w:val="00A92834"/>
    <w:rsid w:val="00A93681"/>
    <w:rsid w:val="00A9391F"/>
    <w:rsid w:val="00A94836"/>
    <w:rsid w:val="00A949E2"/>
    <w:rsid w:val="00A94FDD"/>
    <w:rsid w:val="00A9522A"/>
    <w:rsid w:val="00A954DD"/>
    <w:rsid w:val="00A95551"/>
    <w:rsid w:val="00A95CDD"/>
    <w:rsid w:val="00A95DB2"/>
    <w:rsid w:val="00A96BC2"/>
    <w:rsid w:val="00AA031D"/>
    <w:rsid w:val="00AA0DD7"/>
    <w:rsid w:val="00AA1664"/>
    <w:rsid w:val="00AA1807"/>
    <w:rsid w:val="00AA30A5"/>
    <w:rsid w:val="00AA6850"/>
    <w:rsid w:val="00AA6AC4"/>
    <w:rsid w:val="00AA7F7F"/>
    <w:rsid w:val="00AB049A"/>
    <w:rsid w:val="00AB1606"/>
    <w:rsid w:val="00AB30B9"/>
    <w:rsid w:val="00AB382C"/>
    <w:rsid w:val="00AB4217"/>
    <w:rsid w:val="00AB4F6D"/>
    <w:rsid w:val="00AB5386"/>
    <w:rsid w:val="00AB55D3"/>
    <w:rsid w:val="00AB56AF"/>
    <w:rsid w:val="00AB60D9"/>
    <w:rsid w:val="00AB6208"/>
    <w:rsid w:val="00AB699E"/>
    <w:rsid w:val="00AB746A"/>
    <w:rsid w:val="00AC027C"/>
    <w:rsid w:val="00AC0E1F"/>
    <w:rsid w:val="00AC149D"/>
    <w:rsid w:val="00AC16F2"/>
    <w:rsid w:val="00AC1BCA"/>
    <w:rsid w:val="00AC2679"/>
    <w:rsid w:val="00AC27B2"/>
    <w:rsid w:val="00AC374A"/>
    <w:rsid w:val="00AC40BD"/>
    <w:rsid w:val="00AC4355"/>
    <w:rsid w:val="00AC448D"/>
    <w:rsid w:val="00AC5998"/>
    <w:rsid w:val="00AD1229"/>
    <w:rsid w:val="00AD1396"/>
    <w:rsid w:val="00AD1700"/>
    <w:rsid w:val="00AD31A0"/>
    <w:rsid w:val="00AD3792"/>
    <w:rsid w:val="00AD44DD"/>
    <w:rsid w:val="00AD5107"/>
    <w:rsid w:val="00AD6FE2"/>
    <w:rsid w:val="00AE1EC8"/>
    <w:rsid w:val="00AE428D"/>
    <w:rsid w:val="00AE4791"/>
    <w:rsid w:val="00AE5F7A"/>
    <w:rsid w:val="00AE63E8"/>
    <w:rsid w:val="00AE693F"/>
    <w:rsid w:val="00AE6FEA"/>
    <w:rsid w:val="00AE73F5"/>
    <w:rsid w:val="00AE786A"/>
    <w:rsid w:val="00AE79BA"/>
    <w:rsid w:val="00AE7FE7"/>
    <w:rsid w:val="00AF0CEE"/>
    <w:rsid w:val="00AF39A5"/>
    <w:rsid w:val="00AF40FD"/>
    <w:rsid w:val="00AF4863"/>
    <w:rsid w:val="00AF680A"/>
    <w:rsid w:val="00AF69F9"/>
    <w:rsid w:val="00AF6B32"/>
    <w:rsid w:val="00AF7C28"/>
    <w:rsid w:val="00AF7E28"/>
    <w:rsid w:val="00B02070"/>
    <w:rsid w:val="00B03899"/>
    <w:rsid w:val="00B0449C"/>
    <w:rsid w:val="00B044EF"/>
    <w:rsid w:val="00B045F6"/>
    <w:rsid w:val="00B05881"/>
    <w:rsid w:val="00B05FE0"/>
    <w:rsid w:val="00B077E8"/>
    <w:rsid w:val="00B10C6A"/>
    <w:rsid w:val="00B11AF2"/>
    <w:rsid w:val="00B12593"/>
    <w:rsid w:val="00B12D1C"/>
    <w:rsid w:val="00B137A7"/>
    <w:rsid w:val="00B14A15"/>
    <w:rsid w:val="00B15DCA"/>
    <w:rsid w:val="00B15F64"/>
    <w:rsid w:val="00B16D73"/>
    <w:rsid w:val="00B179D0"/>
    <w:rsid w:val="00B20068"/>
    <w:rsid w:val="00B23241"/>
    <w:rsid w:val="00B232DD"/>
    <w:rsid w:val="00B2449C"/>
    <w:rsid w:val="00B24BF6"/>
    <w:rsid w:val="00B24E74"/>
    <w:rsid w:val="00B25755"/>
    <w:rsid w:val="00B258B4"/>
    <w:rsid w:val="00B25D9D"/>
    <w:rsid w:val="00B275A7"/>
    <w:rsid w:val="00B31AC9"/>
    <w:rsid w:val="00B31C43"/>
    <w:rsid w:val="00B31DAA"/>
    <w:rsid w:val="00B33132"/>
    <w:rsid w:val="00B332E0"/>
    <w:rsid w:val="00B33CF1"/>
    <w:rsid w:val="00B3410E"/>
    <w:rsid w:val="00B3494A"/>
    <w:rsid w:val="00B35AAB"/>
    <w:rsid w:val="00B35B92"/>
    <w:rsid w:val="00B35D56"/>
    <w:rsid w:val="00B36B32"/>
    <w:rsid w:val="00B36DEA"/>
    <w:rsid w:val="00B37B1E"/>
    <w:rsid w:val="00B4014D"/>
    <w:rsid w:val="00B42567"/>
    <w:rsid w:val="00B425ED"/>
    <w:rsid w:val="00B42D19"/>
    <w:rsid w:val="00B445BA"/>
    <w:rsid w:val="00B452E3"/>
    <w:rsid w:val="00B461A9"/>
    <w:rsid w:val="00B4656A"/>
    <w:rsid w:val="00B46A19"/>
    <w:rsid w:val="00B47765"/>
    <w:rsid w:val="00B52944"/>
    <w:rsid w:val="00B543CE"/>
    <w:rsid w:val="00B54BF2"/>
    <w:rsid w:val="00B54C93"/>
    <w:rsid w:val="00B563E9"/>
    <w:rsid w:val="00B56525"/>
    <w:rsid w:val="00B60335"/>
    <w:rsid w:val="00B60BDF"/>
    <w:rsid w:val="00B60D83"/>
    <w:rsid w:val="00B60F61"/>
    <w:rsid w:val="00B622FB"/>
    <w:rsid w:val="00B64291"/>
    <w:rsid w:val="00B649CE"/>
    <w:rsid w:val="00B64F6A"/>
    <w:rsid w:val="00B6730D"/>
    <w:rsid w:val="00B6756B"/>
    <w:rsid w:val="00B67A03"/>
    <w:rsid w:val="00B67D4B"/>
    <w:rsid w:val="00B70FAD"/>
    <w:rsid w:val="00B71940"/>
    <w:rsid w:val="00B728DE"/>
    <w:rsid w:val="00B73195"/>
    <w:rsid w:val="00B74392"/>
    <w:rsid w:val="00B745E3"/>
    <w:rsid w:val="00B745F3"/>
    <w:rsid w:val="00B746A5"/>
    <w:rsid w:val="00B7641A"/>
    <w:rsid w:val="00B76FDD"/>
    <w:rsid w:val="00B7787C"/>
    <w:rsid w:val="00B8161D"/>
    <w:rsid w:val="00B81E89"/>
    <w:rsid w:val="00B82649"/>
    <w:rsid w:val="00B82650"/>
    <w:rsid w:val="00B8597E"/>
    <w:rsid w:val="00B86212"/>
    <w:rsid w:val="00B86A4D"/>
    <w:rsid w:val="00B86BCB"/>
    <w:rsid w:val="00B87159"/>
    <w:rsid w:val="00B90A7C"/>
    <w:rsid w:val="00B92BE8"/>
    <w:rsid w:val="00B92C34"/>
    <w:rsid w:val="00B92D16"/>
    <w:rsid w:val="00B935A1"/>
    <w:rsid w:val="00B93B72"/>
    <w:rsid w:val="00B93CD2"/>
    <w:rsid w:val="00B94388"/>
    <w:rsid w:val="00B9463D"/>
    <w:rsid w:val="00B957DC"/>
    <w:rsid w:val="00B958F7"/>
    <w:rsid w:val="00B95F4B"/>
    <w:rsid w:val="00B9625E"/>
    <w:rsid w:val="00BA1131"/>
    <w:rsid w:val="00BA1884"/>
    <w:rsid w:val="00BA44F0"/>
    <w:rsid w:val="00BA4EBB"/>
    <w:rsid w:val="00BA4FE4"/>
    <w:rsid w:val="00BA604E"/>
    <w:rsid w:val="00BA6BE2"/>
    <w:rsid w:val="00BA6E97"/>
    <w:rsid w:val="00BA6F52"/>
    <w:rsid w:val="00BA6F72"/>
    <w:rsid w:val="00BA7FF3"/>
    <w:rsid w:val="00BB1C80"/>
    <w:rsid w:val="00BB216B"/>
    <w:rsid w:val="00BB2BD6"/>
    <w:rsid w:val="00BB5D00"/>
    <w:rsid w:val="00BB6BDD"/>
    <w:rsid w:val="00BB72EB"/>
    <w:rsid w:val="00BB769C"/>
    <w:rsid w:val="00BC05EC"/>
    <w:rsid w:val="00BC0BB5"/>
    <w:rsid w:val="00BC2892"/>
    <w:rsid w:val="00BC471B"/>
    <w:rsid w:val="00BD0877"/>
    <w:rsid w:val="00BD11E8"/>
    <w:rsid w:val="00BD171A"/>
    <w:rsid w:val="00BD246A"/>
    <w:rsid w:val="00BD2481"/>
    <w:rsid w:val="00BD2684"/>
    <w:rsid w:val="00BD26B9"/>
    <w:rsid w:val="00BD361F"/>
    <w:rsid w:val="00BD38AC"/>
    <w:rsid w:val="00BD4454"/>
    <w:rsid w:val="00BD4B13"/>
    <w:rsid w:val="00BD68FB"/>
    <w:rsid w:val="00BD6FAD"/>
    <w:rsid w:val="00BD72E4"/>
    <w:rsid w:val="00BE0112"/>
    <w:rsid w:val="00BE013A"/>
    <w:rsid w:val="00BE1741"/>
    <w:rsid w:val="00BE1774"/>
    <w:rsid w:val="00BE278A"/>
    <w:rsid w:val="00BE3AA9"/>
    <w:rsid w:val="00BE4F28"/>
    <w:rsid w:val="00BE5835"/>
    <w:rsid w:val="00BE593B"/>
    <w:rsid w:val="00BE59DD"/>
    <w:rsid w:val="00BE5CC6"/>
    <w:rsid w:val="00BE5FD7"/>
    <w:rsid w:val="00BE72F0"/>
    <w:rsid w:val="00BE77EC"/>
    <w:rsid w:val="00BF0F34"/>
    <w:rsid w:val="00BF204B"/>
    <w:rsid w:val="00BF2E1A"/>
    <w:rsid w:val="00BF34E1"/>
    <w:rsid w:val="00BF351D"/>
    <w:rsid w:val="00BF370D"/>
    <w:rsid w:val="00BF38ED"/>
    <w:rsid w:val="00BF5932"/>
    <w:rsid w:val="00BF5FE2"/>
    <w:rsid w:val="00BF6028"/>
    <w:rsid w:val="00BF793F"/>
    <w:rsid w:val="00BF7F66"/>
    <w:rsid w:val="00BF7FC5"/>
    <w:rsid w:val="00C00B3D"/>
    <w:rsid w:val="00C01D6B"/>
    <w:rsid w:val="00C03591"/>
    <w:rsid w:val="00C05C75"/>
    <w:rsid w:val="00C06334"/>
    <w:rsid w:val="00C06DDB"/>
    <w:rsid w:val="00C07FAE"/>
    <w:rsid w:val="00C11582"/>
    <w:rsid w:val="00C11755"/>
    <w:rsid w:val="00C11BC7"/>
    <w:rsid w:val="00C1208F"/>
    <w:rsid w:val="00C122CC"/>
    <w:rsid w:val="00C1259E"/>
    <w:rsid w:val="00C127B9"/>
    <w:rsid w:val="00C13980"/>
    <w:rsid w:val="00C13DB1"/>
    <w:rsid w:val="00C167AB"/>
    <w:rsid w:val="00C207F5"/>
    <w:rsid w:val="00C20CD9"/>
    <w:rsid w:val="00C20CF2"/>
    <w:rsid w:val="00C2201E"/>
    <w:rsid w:val="00C228ED"/>
    <w:rsid w:val="00C230FC"/>
    <w:rsid w:val="00C232B6"/>
    <w:rsid w:val="00C23B0A"/>
    <w:rsid w:val="00C23FD0"/>
    <w:rsid w:val="00C24CCC"/>
    <w:rsid w:val="00C26383"/>
    <w:rsid w:val="00C265DE"/>
    <w:rsid w:val="00C2671B"/>
    <w:rsid w:val="00C2748B"/>
    <w:rsid w:val="00C314CB"/>
    <w:rsid w:val="00C31D3B"/>
    <w:rsid w:val="00C31DEC"/>
    <w:rsid w:val="00C31EA2"/>
    <w:rsid w:val="00C32191"/>
    <w:rsid w:val="00C34EFC"/>
    <w:rsid w:val="00C35203"/>
    <w:rsid w:val="00C3598A"/>
    <w:rsid w:val="00C36306"/>
    <w:rsid w:val="00C36431"/>
    <w:rsid w:val="00C364E6"/>
    <w:rsid w:val="00C37568"/>
    <w:rsid w:val="00C40A64"/>
    <w:rsid w:val="00C41A92"/>
    <w:rsid w:val="00C41D0A"/>
    <w:rsid w:val="00C41F66"/>
    <w:rsid w:val="00C42202"/>
    <w:rsid w:val="00C42FF8"/>
    <w:rsid w:val="00C43669"/>
    <w:rsid w:val="00C44A7D"/>
    <w:rsid w:val="00C45C04"/>
    <w:rsid w:val="00C464D1"/>
    <w:rsid w:val="00C46FA8"/>
    <w:rsid w:val="00C4713F"/>
    <w:rsid w:val="00C47F95"/>
    <w:rsid w:val="00C50571"/>
    <w:rsid w:val="00C5154A"/>
    <w:rsid w:val="00C51A63"/>
    <w:rsid w:val="00C52D19"/>
    <w:rsid w:val="00C52F4B"/>
    <w:rsid w:val="00C5499B"/>
    <w:rsid w:val="00C549EE"/>
    <w:rsid w:val="00C54EAA"/>
    <w:rsid w:val="00C56778"/>
    <w:rsid w:val="00C57127"/>
    <w:rsid w:val="00C57531"/>
    <w:rsid w:val="00C6260E"/>
    <w:rsid w:val="00C6286C"/>
    <w:rsid w:val="00C62F23"/>
    <w:rsid w:val="00C6347E"/>
    <w:rsid w:val="00C637E8"/>
    <w:rsid w:val="00C648A5"/>
    <w:rsid w:val="00C64A95"/>
    <w:rsid w:val="00C6525C"/>
    <w:rsid w:val="00C6635A"/>
    <w:rsid w:val="00C67245"/>
    <w:rsid w:val="00C67D07"/>
    <w:rsid w:val="00C73BC6"/>
    <w:rsid w:val="00C74059"/>
    <w:rsid w:val="00C74FE6"/>
    <w:rsid w:val="00C75765"/>
    <w:rsid w:val="00C76324"/>
    <w:rsid w:val="00C76F7D"/>
    <w:rsid w:val="00C77860"/>
    <w:rsid w:val="00C80BF4"/>
    <w:rsid w:val="00C80C6D"/>
    <w:rsid w:val="00C8496E"/>
    <w:rsid w:val="00C853DE"/>
    <w:rsid w:val="00C86794"/>
    <w:rsid w:val="00C90C36"/>
    <w:rsid w:val="00C90EBA"/>
    <w:rsid w:val="00C910D5"/>
    <w:rsid w:val="00C91AFD"/>
    <w:rsid w:val="00C93122"/>
    <w:rsid w:val="00C932FB"/>
    <w:rsid w:val="00C936BA"/>
    <w:rsid w:val="00C94F32"/>
    <w:rsid w:val="00C960FB"/>
    <w:rsid w:val="00C9620D"/>
    <w:rsid w:val="00C9690A"/>
    <w:rsid w:val="00C97227"/>
    <w:rsid w:val="00C97477"/>
    <w:rsid w:val="00C97612"/>
    <w:rsid w:val="00C97645"/>
    <w:rsid w:val="00C97DB9"/>
    <w:rsid w:val="00CA1682"/>
    <w:rsid w:val="00CA2073"/>
    <w:rsid w:val="00CA21F5"/>
    <w:rsid w:val="00CA2A74"/>
    <w:rsid w:val="00CA35B9"/>
    <w:rsid w:val="00CA62E7"/>
    <w:rsid w:val="00CA75A1"/>
    <w:rsid w:val="00CA7A7B"/>
    <w:rsid w:val="00CB0932"/>
    <w:rsid w:val="00CB1072"/>
    <w:rsid w:val="00CB18F5"/>
    <w:rsid w:val="00CB2177"/>
    <w:rsid w:val="00CB4265"/>
    <w:rsid w:val="00CB67A7"/>
    <w:rsid w:val="00CB7B81"/>
    <w:rsid w:val="00CB7B93"/>
    <w:rsid w:val="00CC0FE1"/>
    <w:rsid w:val="00CC12B9"/>
    <w:rsid w:val="00CC1C92"/>
    <w:rsid w:val="00CC1E67"/>
    <w:rsid w:val="00CC1ED0"/>
    <w:rsid w:val="00CC5E2A"/>
    <w:rsid w:val="00CC6593"/>
    <w:rsid w:val="00CD089C"/>
    <w:rsid w:val="00CD0E76"/>
    <w:rsid w:val="00CD19B6"/>
    <w:rsid w:val="00CD1E95"/>
    <w:rsid w:val="00CD20FC"/>
    <w:rsid w:val="00CD27D9"/>
    <w:rsid w:val="00CD3CDF"/>
    <w:rsid w:val="00CD6C5A"/>
    <w:rsid w:val="00CE00B9"/>
    <w:rsid w:val="00CE0A35"/>
    <w:rsid w:val="00CE166E"/>
    <w:rsid w:val="00CE1EC8"/>
    <w:rsid w:val="00CE212B"/>
    <w:rsid w:val="00CE3012"/>
    <w:rsid w:val="00CE364E"/>
    <w:rsid w:val="00CE37CA"/>
    <w:rsid w:val="00CE4540"/>
    <w:rsid w:val="00CE4F32"/>
    <w:rsid w:val="00CE57FC"/>
    <w:rsid w:val="00CE5D9B"/>
    <w:rsid w:val="00CE5F47"/>
    <w:rsid w:val="00CE6A50"/>
    <w:rsid w:val="00CE7FBF"/>
    <w:rsid w:val="00CF395D"/>
    <w:rsid w:val="00CF3AAA"/>
    <w:rsid w:val="00CF3C95"/>
    <w:rsid w:val="00CF4554"/>
    <w:rsid w:val="00D001B4"/>
    <w:rsid w:val="00D00EC5"/>
    <w:rsid w:val="00D01237"/>
    <w:rsid w:val="00D016FE"/>
    <w:rsid w:val="00D01866"/>
    <w:rsid w:val="00D024C8"/>
    <w:rsid w:val="00D02903"/>
    <w:rsid w:val="00D034E8"/>
    <w:rsid w:val="00D05512"/>
    <w:rsid w:val="00D05518"/>
    <w:rsid w:val="00D0600C"/>
    <w:rsid w:val="00D06221"/>
    <w:rsid w:val="00D1006B"/>
    <w:rsid w:val="00D1092A"/>
    <w:rsid w:val="00D117B6"/>
    <w:rsid w:val="00D131A0"/>
    <w:rsid w:val="00D13CB7"/>
    <w:rsid w:val="00D1697B"/>
    <w:rsid w:val="00D16C08"/>
    <w:rsid w:val="00D17308"/>
    <w:rsid w:val="00D17828"/>
    <w:rsid w:val="00D2191F"/>
    <w:rsid w:val="00D22A8A"/>
    <w:rsid w:val="00D23E35"/>
    <w:rsid w:val="00D24B98"/>
    <w:rsid w:val="00D2650F"/>
    <w:rsid w:val="00D277A1"/>
    <w:rsid w:val="00D27C67"/>
    <w:rsid w:val="00D3273D"/>
    <w:rsid w:val="00D32937"/>
    <w:rsid w:val="00D32E43"/>
    <w:rsid w:val="00D34027"/>
    <w:rsid w:val="00D348A1"/>
    <w:rsid w:val="00D34909"/>
    <w:rsid w:val="00D360A0"/>
    <w:rsid w:val="00D3666C"/>
    <w:rsid w:val="00D367D3"/>
    <w:rsid w:val="00D36C60"/>
    <w:rsid w:val="00D36D43"/>
    <w:rsid w:val="00D371D7"/>
    <w:rsid w:val="00D404FB"/>
    <w:rsid w:val="00D41689"/>
    <w:rsid w:val="00D41B69"/>
    <w:rsid w:val="00D41F5F"/>
    <w:rsid w:val="00D43FAE"/>
    <w:rsid w:val="00D44154"/>
    <w:rsid w:val="00D4429F"/>
    <w:rsid w:val="00D444DF"/>
    <w:rsid w:val="00D44EE3"/>
    <w:rsid w:val="00D45173"/>
    <w:rsid w:val="00D45436"/>
    <w:rsid w:val="00D46688"/>
    <w:rsid w:val="00D4681E"/>
    <w:rsid w:val="00D4716F"/>
    <w:rsid w:val="00D473A0"/>
    <w:rsid w:val="00D477AD"/>
    <w:rsid w:val="00D47B02"/>
    <w:rsid w:val="00D47C0C"/>
    <w:rsid w:val="00D501E3"/>
    <w:rsid w:val="00D5175F"/>
    <w:rsid w:val="00D51D90"/>
    <w:rsid w:val="00D5252F"/>
    <w:rsid w:val="00D539A4"/>
    <w:rsid w:val="00D53BD1"/>
    <w:rsid w:val="00D57A7E"/>
    <w:rsid w:val="00D57F9A"/>
    <w:rsid w:val="00D600FB"/>
    <w:rsid w:val="00D60171"/>
    <w:rsid w:val="00D6033E"/>
    <w:rsid w:val="00D611B0"/>
    <w:rsid w:val="00D6158B"/>
    <w:rsid w:val="00D6179E"/>
    <w:rsid w:val="00D61CA0"/>
    <w:rsid w:val="00D61F7C"/>
    <w:rsid w:val="00D6261F"/>
    <w:rsid w:val="00D6336E"/>
    <w:rsid w:val="00D633D6"/>
    <w:rsid w:val="00D65BEF"/>
    <w:rsid w:val="00D6728B"/>
    <w:rsid w:val="00D6729E"/>
    <w:rsid w:val="00D672DC"/>
    <w:rsid w:val="00D679BA"/>
    <w:rsid w:val="00D700F9"/>
    <w:rsid w:val="00D70C5D"/>
    <w:rsid w:val="00D70CC7"/>
    <w:rsid w:val="00D71A33"/>
    <w:rsid w:val="00D71C66"/>
    <w:rsid w:val="00D72082"/>
    <w:rsid w:val="00D722F2"/>
    <w:rsid w:val="00D72F32"/>
    <w:rsid w:val="00D73138"/>
    <w:rsid w:val="00D7348F"/>
    <w:rsid w:val="00D73AEF"/>
    <w:rsid w:val="00D73C44"/>
    <w:rsid w:val="00D73FC3"/>
    <w:rsid w:val="00D753CC"/>
    <w:rsid w:val="00D7561F"/>
    <w:rsid w:val="00D757DC"/>
    <w:rsid w:val="00D75AEC"/>
    <w:rsid w:val="00D75EE9"/>
    <w:rsid w:val="00D766CC"/>
    <w:rsid w:val="00D7693F"/>
    <w:rsid w:val="00D77AD2"/>
    <w:rsid w:val="00D806E4"/>
    <w:rsid w:val="00D81716"/>
    <w:rsid w:val="00D8267E"/>
    <w:rsid w:val="00D83B2E"/>
    <w:rsid w:val="00D83EDF"/>
    <w:rsid w:val="00D84630"/>
    <w:rsid w:val="00D84666"/>
    <w:rsid w:val="00D87892"/>
    <w:rsid w:val="00D9047E"/>
    <w:rsid w:val="00D90717"/>
    <w:rsid w:val="00D90A9D"/>
    <w:rsid w:val="00D90B4C"/>
    <w:rsid w:val="00D90C75"/>
    <w:rsid w:val="00D92170"/>
    <w:rsid w:val="00D942EF"/>
    <w:rsid w:val="00D96BAB"/>
    <w:rsid w:val="00D97784"/>
    <w:rsid w:val="00D97D04"/>
    <w:rsid w:val="00DA197E"/>
    <w:rsid w:val="00DA1A02"/>
    <w:rsid w:val="00DA1D3B"/>
    <w:rsid w:val="00DA3E36"/>
    <w:rsid w:val="00DA430B"/>
    <w:rsid w:val="00DA55E8"/>
    <w:rsid w:val="00DA6A62"/>
    <w:rsid w:val="00DA7127"/>
    <w:rsid w:val="00DB02FC"/>
    <w:rsid w:val="00DB16A8"/>
    <w:rsid w:val="00DB3D89"/>
    <w:rsid w:val="00DB4D6A"/>
    <w:rsid w:val="00DB56BC"/>
    <w:rsid w:val="00DB6808"/>
    <w:rsid w:val="00DC050D"/>
    <w:rsid w:val="00DC09EF"/>
    <w:rsid w:val="00DC1699"/>
    <w:rsid w:val="00DC2CAF"/>
    <w:rsid w:val="00DC472C"/>
    <w:rsid w:val="00DC4804"/>
    <w:rsid w:val="00DC5028"/>
    <w:rsid w:val="00DD095D"/>
    <w:rsid w:val="00DD0B32"/>
    <w:rsid w:val="00DD1412"/>
    <w:rsid w:val="00DD158F"/>
    <w:rsid w:val="00DD36C2"/>
    <w:rsid w:val="00DD4ABF"/>
    <w:rsid w:val="00DD5B8C"/>
    <w:rsid w:val="00DD5C89"/>
    <w:rsid w:val="00DD6126"/>
    <w:rsid w:val="00DD6F7A"/>
    <w:rsid w:val="00DE2D67"/>
    <w:rsid w:val="00DE5622"/>
    <w:rsid w:val="00DE620D"/>
    <w:rsid w:val="00DE77F0"/>
    <w:rsid w:val="00DF0033"/>
    <w:rsid w:val="00DF0401"/>
    <w:rsid w:val="00DF09D3"/>
    <w:rsid w:val="00DF219F"/>
    <w:rsid w:val="00DF2467"/>
    <w:rsid w:val="00DF261C"/>
    <w:rsid w:val="00DF29AA"/>
    <w:rsid w:val="00DF345C"/>
    <w:rsid w:val="00DF387C"/>
    <w:rsid w:val="00DF4AB7"/>
    <w:rsid w:val="00DF5190"/>
    <w:rsid w:val="00DF59D6"/>
    <w:rsid w:val="00DF638F"/>
    <w:rsid w:val="00DF70C9"/>
    <w:rsid w:val="00E00300"/>
    <w:rsid w:val="00E0031A"/>
    <w:rsid w:val="00E02A7C"/>
    <w:rsid w:val="00E02AE6"/>
    <w:rsid w:val="00E02BCF"/>
    <w:rsid w:val="00E02EFB"/>
    <w:rsid w:val="00E03A88"/>
    <w:rsid w:val="00E042DD"/>
    <w:rsid w:val="00E04932"/>
    <w:rsid w:val="00E04D46"/>
    <w:rsid w:val="00E05197"/>
    <w:rsid w:val="00E05230"/>
    <w:rsid w:val="00E05930"/>
    <w:rsid w:val="00E05B1E"/>
    <w:rsid w:val="00E106E0"/>
    <w:rsid w:val="00E107BC"/>
    <w:rsid w:val="00E10D53"/>
    <w:rsid w:val="00E11D8D"/>
    <w:rsid w:val="00E12370"/>
    <w:rsid w:val="00E12C83"/>
    <w:rsid w:val="00E1318F"/>
    <w:rsid w:val="00E13FEE"/>
    <w:rsid w:val="00E1556E"/>
    <w:rsid w:val="00E156C7"/>
    <w:rsid w:val="00E16B7A"/>
    <w:rsid w:val="00E17DCA"/>
    <w:rsid w:val="00E20920"/>
    <w:rsid w:val="00E20C54"/>
    <w:rsid w:val="00E20D4D"/>
    <w:rsid w:val="00E210B2"/>
    <w:rsid w:val="00E23868"/>
    <w:rsid w:val="00E23952"/>
    <w:rsid w:val="00E24713"/>
    <w:rsid w:val="00E25C3E"/>
    <w:rsid w:val="00E266A0"/>
    <w:rsid w:val="00E26C68"/>
    <w:rsid w:val="00E27365"/>
    <w:rsid w:val="00E302D3"/>
    <w:rsid w:val="00E30858"/>
    <w:rsid w:val="00E31275"/>
    <w:rsid w:val="00E31742"/>
    <w:rsid w:val="00E33D07"/>
    <w:rsid w:val="00E35715"/>
    <w:rsid w:val="00E35AF3"/>
    <w:rsid w:val="00E361DE"/>
    <w:rsid w:val="00E36B96"/>
    <w:rsid w:val="00E36DA4"/>
    <w:rsid w:val="00E371A0"/>
    <w:rsid w:val="00E37449"/>
    <w:rsid w:val="00E37777"/>
    <w:rsid w:val="00E37921"/>
    <w:rsid w:val="00E37DFC"/>
    <w:rsid w:val="00E40504"/>
    <w:rsid w:val="00E4104F"/>
    <w:rsid w:val="00E41389"/>
    <w:rsid w:val="00E41793"/>
    <w:rsid w:val="00E43071"/>
    <w:rsid w:val="00E4330F"/>
    <w:rsid w:val="00E43B47"/>
    <w:rsid w:val="00E43CD7"/>
    <w:rsid w:val="00E443A7"/>
    <w:rsid w:val="00E4534A"/>
    <w:rsid w:val="00E455E7"/>
    <w:rsid w:val="00E45F97"/>
    <w:rsid w:val="00E47336"/>
    <w:rsid w:val="00E47790"/>
    <w:rsid w:val="00E47D69"/>
    <w:rsid w:val="00E47D87"/>
    <w:rsid w:val="00E50335"/>
    <w:rsid w:val="00E51151"/>
    <w:rsid w:val="00E51755"/>
    <w:rsid w:val="00E51C6E"/>
    <w:rsid w:val="00E525CB"/>
    <w:rsid w:val="00E5359F"/>
    <w:rsid w:val="00E54060"/>
    <w:rsid w:val="00E565BC"/>
    <w:rsid w:val="00E56C25"/>
    <w:rsid w:val="00E603A7"/>
    <w:rsid w:val="00E6042B"/>
    <w:rsid w:val="00E60915"/>
    <w:rsid w:val="00E621E6"/>
    <w:rsid w:val="00E63685"/>
    <w:rsid w:val="00E65312"/>
    <w:rsid w:val="00E65420"/>
    <w:rsid w:val="00E657F4"/>
    <w:rsid w:val="00E66098"/>
    <w:rsid w:val="00E67E72"/>
    <w:rsid w:val="00E67FD3"/>
    <w:rsid w:val="00E70D64"/>
    <w:rsid w:val="00E70E7F"/>
    <w:rsid w:val="00E71333"/>
    <w:rsid w:val="00E71919"/>
    <w:rsid w:val="00E72BA7"/>
    <w:rsid w:val="00E7357A"/>
    <w:rsid w:val="00E7398A"/>
    <w:rsid w:val="00E74B94"/>
    <w:rsid w:val="00E768A1"/>
    <w:rsid w:val="00E77174"/>
    <w:rsid w:val="00E820BC"/>
    <w:rsid w:val="00E8318C"/>
    <w:rsid w:val="00E8354A"/>
    <w:rsid w:val="00E83DF6"/>
    <w:rsid w:val="00E841EA"/>
    <w:rsid w:val="00E8439C"/>
    <w:rsid w:val="00E84C5E"/>
    <w:rsid w:val="00E86D3B"/>
    <w:rsid w:val="00E8701B"/>
    <w:rsid w:val="00E91EBA"/>
    <w:rsid w:val="00E922B2"/>
    <w:rsid w:val="00E93BAC"/>
    <w:rsid w:val="00E93C46"/>
    <w:rsid w:val="00E9418F"/>
    <w:rsid w:val="00E955A1"/>
    <w:rsid w:val="00E95D66"/>
    <w:rsid w:val="00E95E5E"/>
    <w:rsid w:val="00E961BA"/>
    <w:rsid w:val="00E96682"/>
    <w:rsid w:val="00E96A06"/>
    <w:rsid w:val="00E970F0"/>
    <w:rsid w:val="00E9786C"/>
    <w:rsid w:val="00E97B68"/>
    <w:rsid w:val="00EA1121"/>
    <w:rsid w:val="00EA27BA"/>
    <w:rsid w:val="00EA4C68"/>
    <w:rsid w:val="00EA5DA0"/>
    <w:rsid w:val="00EA60C6"/>
    <w:rsid w:val="00EA7599"/>
    <w:rsid w:val="00EA7924"/>
    <w:rsid w:val="00EB023A"/>
    <w:rsid w:val="00EB074D"/>
    <w:rsid w:val="00EB0C60"/>
    <w:rsid w:val="00EB18A6"/>
    <w:rsid w:val="00EB19BD"/>
    <w:rsid w:val="00EB257E"/>
    <w:rsid w:val="00EB2E8C"/>
    <w:rsid w:val="00EB471E"/>
    <w:rsid w:val="00EB55AC"/>
    <w:rsid w:val="00EB6182"/>
    <w:rsid w:val="00EB72F8"/>
    <w:rsid w:val="00EC01B7"/>
    <w:rsid w:val="00EC0B8B"/>
    <w:rsid w:val="00EC101F"/>
    <w:rsid w:val="00EC17B2"/>
    <w:rsid w:val="00EC1A92"/>
    <w:rsid w:val="00EC21BB"/>
    <w:rsid w:val="00EC266C"/>
    <w:rsid w:val="00EC2A35"/>
    <w:rsid w:val="00EC5036"/>
    <w:rsid w:val="00EC5814"/>
    <w:rsid w:val="00EC5AE1"/>
    <w:rsid w:val="00EC5DDF"/>
    <w:rsid w:val="00EC76C1"/>
    <w:rsid w:val="00EC7B0D"/>
    <w:rsid w:val="00ED0969"/>
    <w:rsid w:val="00ED21CE"/>
    <w:rsid w:val="00ED29A6"/>
    <w:rsid w:val="00ED2EB0"/>
    <w:rsid w:val="00ED3902"/>
    <w:rsid w:val="00ED3A73"/>
    <w:rsid w:val="00ED3B0F"/>
    <w:rsid w:val="00ED6876"/>
    <w:rsid w:val="00ED6C33"/>
    <w:rsid w:val="00ED6D28"/>
    <w:rsid w:val="00ED7487"/>
    <w:rsid w:val="00ED7980"/>
    <w:rsid w:val="00ED7AF4"/>
    <w:rsid w:val="00EE1641"/>
    <w:rsid w:val="00EE1BFE"/>
    <w:rsid w:val="00EE1C36"/>
    <w:rsid w:val="00EE2529"/>
    <w:rsid w:val="00EE30A0"/>
    <w:rsid w:val="00EE30C8"/>
    <w:rsid w:val="00EE36F0"/>
    <w:rsid w:val="00EE591A"/>
    <w:rsid w:val="00EE702D"/>
    <w:rsid w:val="00EE7151"/>
    <w:rsid w:val="00EE72CF"/>
    <w:rsid w:val="00EF04B0"/>
    <w:rsid w:val="00EF05DD"/>
    <w:rsid w:val="00EF0B2A"/>
    <w:rsid w:val="00EF0C80"/>
    <w:rsid w:val="00EF152B"/>
    <w:rsid w:val="00EF2D61"/>
    <w:rsid w:val="00EF2D6A"/>
    <w:rsid w:val="00EF5908"/>
    <w:rsid w:val="00EF6ECA"/>
    <w:rsid w:val="00EF6F48"/>
    <w:rsid w:val="00EF7D50"/>
    <w:rsid w:val="00F01BA0"/>
    <w:rsid w:val="00F02910"/>
    <w:rsid w:val="00F03017"/>
    <w:rsid w:val="00F030A4"/>
    <w:rsid w:val="00F0657A"/>
    <w:rsid w:val="00F0769E"/>
    <w:rsid w:val="00F0797A"/>
    <w:rsid w:val="00F10054"/>
    <w:rsid w:val="00F10186"/>
    <w:rsid w:val="00F107D8"/>
    <w:rsid w:val="00F1085E"/>
    <w:rsid w:val="00F10DA4"/>
    <w:rsid w:val="00F1150E"/>
    <w:rsid w:val="00F11F3F"/>
    <w:rsid w:val="00F12701"/>
    <w:rsid w:val="00F12783"/>
    <w:rsid w:val="00F1357E"/>
    <w:rsid w:val="00F13E50"/>
    <w:rsid w:val="00F1444C"/>
    <w:rsid w:val="00F145E9"/>
    <w:rsid w:val="00F15CC6"/>
    <w:rsid w:val="00F16663"/>
    <w:rsid w:val="00F17336"/>
    <w:rsid w:val="00F1733F"/>
    <w:rsid w:val="00F175F8"/>
    <w:rsid w:val="00F17BDB"/>
    <w:rsid w:val="00F206E4"/>
    <w:rsid w:val="00F2186D"/>
    <w:rsid w:val="00F21A7A"/>
    <w:rsid w:val="00F21B14"/>
    <w:rsid w:val="00F21EDB"/>
    <w:rsid w:val="00F22884"/>
    <w:rsid w:val="00F23B3F"/>
    <w:rsid w:val="00F23F75"/>
    <w:rsid w:val="00F25CCA"/>
    <w:rsid w:val="00F25E7A"/>
    <w:rsid w:val="00F26372"/>
    <w:rsid w:val="00F305BF"/>
    <w:rsid w:val="00F30B6F"/>
    <w:rsid w:val="00F31772"/>
    <w:rsid w:val="00F318F7"/>
    <w:rsid w:val="00F31933"/>
    <w:rsid w:val="00F31B98"/>
    <w:rsid w:val="00F31D44"/>
    <w:rsid w:val="00F32650"/>
    <w:rsid w:val="00F32CE6"/>
    <w:rsid w:val="00F33304"/>
    <w:rsid w:val="00F3384D"/>
    <w:rsid w:val="00F346F0"/>
    <w:rsid w:val="00F34D41"/>
    <w:rsid w:val="00F35388"/>
    <w:rsid w:val="00F36367"/>
    <w:rsid w:val="00F37621"/>
    <w:rsid w:val="00F40B4C"/>
    <w:rsid w:val="00F4177B"/>
    <w:rsid w:val="00F42DF5"/>
    <w:rsid w:val="00F430C9"/>
    <w:rsid w:val="00F44150"/>
    <w:rsid w:val="00F44811"/>
    <w:rsid w:val="00F44B69"/>
    <w:rsid w:val="00F44F6F"/>
    <w:rsid w:val="00F45B05"/>
    <w:rsid w:val="00F45C61"/>
    <w:rsid w:val="00F500FD"/>
    <w:rsid w:val="00F52F5E"/>
    <w:rsid w:val="00F53377"/>
    <w:rsid w:val="00F53863"/>
    <w:rsid w:val="00F53F38"/>
    <w:rsid w:val="00F54999"/>
    <w:rsid w:val="00F54F45"/>
    <w:rsid w:val="00F56F51"/>
    <w:rsid w:val="00F57108"/>
    <w:rsid w:val="00F577B2"/>
    <w:rsid w:val="00F57D30"/>
    <w:rsid w:val="00F60A45"/>
    <w:rsid w:val="00F6164B"/>
    <w:rsid w:val="00F63233"/>
    <w:rsid w:val="00F659A8"/>
    <w:rsid w:val="00F66366"/>
    <w:rsid w:val="00F664D2"/>
    <w:rsid w:val="00F677D8"/>
    <w:rsid w:val="00F67ED6"/>
    <w:rsid w:val="00F7127A"/>
    <w:rsid w:val="00F713C2"/>
    <w:rsid w:val="00F71739"/>
    <w:rsid w:val="00F75C31"/>
    <w:rsid w:val="00F80735"/>
    <w:rsid w:val="00F807EE"/>
    <w:rsid w:val="00F80ADA"/>
    <w:rsid w:val="00F825E0"/>
    <w:rsid w:val="00F83374"/>
    <w:rsid w:val="00F83AB6"/>
    <w:rsid w:val="00F83FC5"/>
    <w:rsid w:val="00F84409"/>
    <w:rsid w:val="00F86C85"/>
    <w:rsid w:val="00F86D33"/>
    <w:rsid w:val="00F87D0D"/>
    <w:rsid w:val="00F90D99"/>
    <w:rsid w:val="00F91017"/>
    <w:rsid w:val="00F9378D"/>
    <w:rsid w:val="00F945A0"/>
    <w:rsid w:val="00F9573F"/>
    <w:rsid w:val="00F95C92"/>
    <w:rsid w:val="00F960FF"/>
    <w:rsid w:val="00F96341"/>
    <w:rsid w:val="00F966B3"/>
    <w:rsid w:val="00F96E2A"/>
    <w:rsid w:val="00FA06CA"/>
    <w:rsid w:val="00FA2887"/>
    <w:rsid w:val="00FA29CD"/>
    <w:rsid w:val="00FA2AED"/>
    <w:rsid w:val="00FA40DF"/>
    <w:rsid w:val="00FA5EFA"/>
    <w:rsid w:val="00FA6412"/>
    <w:rsid w:val="00FA6614"/>
    <w:rsid w:val="00FA71FE"/>
    <w:rsid w:val="00FA73BB"/>
    <w:rsid w:val="00FA7E99"/>
    <w:rsid w:val="00FB0F75"/>
    <w:rsid w:val="00FB14BC"/>
    <w:rsid w:val="00FB19E4"/>
    <w:rsid w:val="00FB2888"/>
    <w:rsid w:val="00FB2F5B"/>
    <w:rsid w:val="00FB36EE"/>
    <w:rsid w:val="00FB3BCE"/>
    <w:rsid w:val="00FB421C"/>
    <w:rsid w:val="00FB466C"/>
    <w:rsid w:val="00FB54BF"/>
    <w:rsid w:val="00FB565B"/>
    <w:rsid w:val="00FB5E98"/>
    <w:rsid w:val="00FB6580"/>
    <w:rsid w:val="00FB6B67"/>
    <w:rsid w:val="00FB7418"/>
    <w:rsid w:val="00FB7EF4"/>
    <w:rsid w:val="00FC1F1B"/>
    <w:rsid w:val="00FC38DA"/>
    <w:rsid w:val="00FC6C04"/>
    <w:rsid w:val="00FC7BF6"/>
    <w:rsid w:val="00FD0271"/>
    <w:rsid w:val="00FD05BF"/>
    <w:rsid w:val="00FD0B51"/>
    <w:rsid w:val="00FD113C"/>
    <w:rsid w:val="00FD1CD7"/>
    <w:rsid w:val="00FD2635"/>
    <w:rsid w:val="00FD4121"/>
    <w:rsid w:val="00FD4275"/>
    <w:rsid w:val="00FD58B2"/>
    <w:rsid w:val="00FD5BEF"/>
    <w:rsid w:val="00FD6634"/>
    <w:rsid w:val="00FD71F1"/>
    <w:rsid w:val="00FD73E7"/>
    <w:rsid w:val="00FD742B"/>
    <w:rsid w:val="00FD75EF"/>
    <w:rsid w:val="00FD7A97"/>
    <w:rsid w:val="00FD7B80"/>
    <w:rsid w:val="00FE18D3"/>
    <w:rsid w:val="00FE33DD"/>
    <w:rsid w:val="00FE3496"/>
    <w:rsid w:val="00FE4348"/>
    <w:rsid w:val="00FE4751"/>
    <w:rsid w:val="00FE595C"/>
    <w:rsid w:val="00FE5CA5"/>
    <w:rsid w:val="00FE6856"/>
    <w:rsid w:val="00FE6BAD"/>
    <w:rsid w:val="00FE7EDC"/>
    <w:rsid w:val="00FF0A94"/>
    <w:rsid w:val="00FF117C"/>
    <w:rsid w:val="00FF252A"/>
    <w:rsid w:val="00FF3F37"/>
    <w:rsid w:val="00FF40A2"/>
    <w:rsid w:val="00FF4982"/>
    <w:rsid w:val="00FF68A6"/>
    <w:rsid w:val="00FF7483"/>
    <w:rsid w:val="00FF7C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84CE0F"/>
  <w15:docId w15:val="{0DEFE994-E049-450F-80D8-3EF9B27F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u w:val="single"/>
    </w:rPr>
  </w:style>
  <w:style w:type="paragraph" w:styleId="Nadpis2">
    <w:name w:val="heading 2"/>
    <w:basedOn w:val="Normln"/>
    <w:next w:val="Normln"/>
    <w:link w:val="Nadpis2Char"/>
    <w:qFormat/>
    <w:pPr>
      <w:keepNext/>
      <w:jc w:val="both"/>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kladntextodsazen">
    <w:name w:val="Body Text Indent"/>
    <w:basedOn w:val="Normln"/>
    <w:pPr>
      <w:spacing w:after="120"/>
      <w:ind w:left="283"/>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left="360"/>
      <w:jc w:val="both"/>
    </w:pPr>
  </w:style>
  <w:style w:type="paragraph" w:styleId="Textbubliny">
    <w:name w:val="Balloon Text"/>
    <w:basedOn w:val="Normln"/>
    <w:semiHidden/>
    <w:rsid w:val="002F0EDA"/>
    <w:rPr>
      <w:rFonts w:ascii="Tahoma" w:hAnsi="Tahoma" w:cs="Tahoma"/>
      <w:sz w:val="16"/>
      <w:szCs w:val="16"/>
    </w:rPr>
  </w:style>
  <w:style w:type="character" w:customStyle="1" w:styleId="ZhlavChar">
    <w:name w:val="Záhlaví Char"/>
    <w:link w:val="Zhlav"/>
    <w:rsid w:val="007F2590"/>
    <w:rPr>
      <w:sz w:val="24"/>
      <w:szCs w:val="24"/>
      <w:lang w:val="cs-CZ" w:eastAsia="cs-CZ" w:bidi="ar-SA"/>
    </w:rPr>
  </w:style>
  <w:style w:type="paragraph" w:styleId="Odstavecseseznamem">
    <w:name w:val="List Paragraph"/>
    <w:aliases w:val="Nad,Odstavec_muj,Název grafu,nad 1"/>
    <w:basedOn w:val="Normln"/>
    <w:link w:val="OdstavecseseznamemChar"/>
    <w:uiPriority w:val="34"/>
    <w:qFormat/>
    <w:rsid w:val="00B47765"/>
    <w:pPr>
      <w:ind w:left="720"/>
    </w:pPr>
    <w:rPr>
      <w:rFonts w:eastAsia="Calibri"/>
    </w:rPr>
  </w:style>
  <w:style w:type="character" w:customStyle="1" w:styleId="Nadpis2Char">
    <w:name w:val="Nadpis 2 Char"/>
    <w:link w:val="Nadpis2"/>
    <w:rsid w:val="006C175F"/>
    <w:rPr>
      <w:b/>
      <w:bCs/>
      <w:sz w:val="24"/>
      <w:szCs w:val="24"/>
      <w:lang w:val="cs-CZ" w:eastAsia="cs-CZ" w:bidi="ar-SA"/>
    </w:rPr>
  </w:style>
  <w:style w:type="character" w:styleId="Odkaznakoment">
    <w:name w:val="annotation reference"/>
    <w:semiHidden/>
    <w:rsid w:val="006C175F"/>
    <w:rPr>
      <w:sz w:val="16"/>
      <w:szCs w:val="16"/>
    </w:rPr>
  </w:style>
  <w:style w:type="paragraph" w:styleId="Textkomente">
    <w:name w:val="annotation text"/>
    <w:basedOn w:val="Normln"/>
    <w:semiHidden/>
    <w:rsid w:val="006C175F"/>
    <w:rPr>
      <w:sz w:val="20"/>
      <w:szCs w:val="20"/>
    </w:rPr>
  </w:style>
  <w:style w:type="paragraph" w:styleId="Pedmtkomente">
    <w:name w:val="annotation subject"/>
    <w:basedOn w:val="Textkomente"/>
    <w:next w:val="Textkomente"/>
    <w:semiHidden/>
    <w:rsid w:val="006C175F"/>
    <w:rPr>
      <w:b/>
      <w:bCs/>
    </w:rPr>
  </w:style>
  <w:style w:type="paragraph" w:styleId="Revize">
    <w:name w:val="Revision"/>
    <w:hidden/>
    <w:uiPriority w:val="99"/>
    <w:semiHidden/>
    <w:rsid w:val="0076312F"/>
    <w:rPr>
      <w:sz w:val="24"/>
      <w:szCs w:val="24"/>
    </w:rPr>
  </w:style>
  <w:style w:type="character" w:customStyle="1" w:styleId="ZpatChar">
    <w:name w:val="Zápatí Char"/>
    <w:basedOn w:val="Standardnpsmoodstavce"/>
    <w:link w:val="Zpat"/>
    <w:uiPriority w:val="99"/>
    <w:rsid w:val="00176060"/>
    <w:rPr>
      <w:sz w:val="24"/>
      <w:szCs w:val="24"/>
    </w:rPr>
  </w:style>
  <w:style w:type="character" w:customStyle="1" w:styleId="ZkladntextChar">
    <w:name w:val="Základní text Char"/>
    <w:basedOn w:val="Standardnpsmoodstavce"/>
    <w:link w:val="Zkladntext"/>
    <w:rsid w:val="004F6E52"/>
    <w:rPr>
      <w:sz w:val="24"/>
      <w:szCs w:val="24"/>
    </w:rPr>
  </w:style>
  <w:style w:type="character" w:styleId="Hypertextovodkaz">
    <w:name w:val="Hyperlink"/>
    <w:rsid w:val="00631068"/>
    <w:rPr>
      <w:color w:val="0000FF"/>
      <w:u w:val="single"/>
    </w:rPr>
  </w:style>
  <w:style w:type="character" w:styleId="Sledovanodkaz">
    <w:name w:val="FollowedHyperlink"/>
    <w:basedOn w:val="Standardnpsmoodstavce"/>
    <w:rsid w:val="00006AC6"/>
    <w:rPr>
      <w:color w:val="800080" w:themeColor="followedHyperlink"/>
      <w:u w:val="single"/>
    </w:rPr>
  </w:style>
  <w:style w:type="paragraph" w:styleId="Prosttext">
    <w:name w:val="Plain Text"/>
    <w:basedOn w:val="Normln"/>
    <w:link w:val="ProsttextChar"/>
    <w:uiPriority w:val="99"/>
    <w:unhideWhenUsed/>
    <w:rsid w:val="0096632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96632A"/>
    <w:rPr>
      <w:rFonts w:ascii="Calibri" w:eastAsiaTheme="minorHAnsi" w:hAnsi="Calibri" w:cstheme="minorBidi"/>
      <w:sz w:val="22"/>
      <w:szCs w:val="21"/>
      <w:lang w:eastAsia="en-US"/>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B4256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6619">
      <w:bodyDiv w:val="1"/>
      <w:marLeft w:val="0"/>
      <w:marRight w:val="0"/>
      <w:marTop w:val="0"/>
      <w:marBottom w:val="0"/>
      <w:divBdr>
        <w:top w:val="none" w:sz="0" w:space="0" w:color="auto"/>
        <w:left w:val="none" w:sz="0" w:space="0" w:color="auto"/>
        <w:bottom w:val="none" w:sz="0" w:space="0" w:color="auto"/>
        <w:right w:val="none" w:sz="0" w:space="0" w:color="auto"/>
      </w:divBdr>
    </w:div>
    <w:div w:id="191845153">
      <w:bodyDiv w:val="1"/>
      <w:marLeft w:val="0"/>
      <w:marRight w:val="0"/>
      <w:marTop w:val="0"/>
      <w:marBottom w:val="0"/>
      <w:divBdr>
        <w:top w:val="none" w:sz="0" w:space="0" w:color="auto"/>
        <w:left w:val="none" w:sz="0" w:space="0" w:color="auto"/>
        <w:bottom w:val="none" w:sz="0" w:space="0" w:color="auto"/>
        <w:right w:val="none" w:sz="0" w:space="0" w:color="auto"/>
      </w:divBdr>
    </w:div>
    <w:div w:id="256789562">
      <w:bodyDiv w:val="1"/>
      <w:marLeft w:val="0"/>
      <w:marRight w:val="0"/>
      <w:marTop w:val="0"/>
      <w:marBottom w:val="0"/>
      <w:divBdr>
        <w:top w:val="none" w:sz="0" w:space="0" w:color="auto"/>
        <w:left w:val="none" w:sz="0" w:space="0" w:color="auto"/>
        <w:bottom w:val="none" w:sz="0" w:space="0" w:color="auto"/>
        <w:right w:val="none" w:sz="0" w:space="0" w:color="auto"/>
      </w:divBdr>
    </w:div>
    <w:div w:id="593170507">
      <w:bodyDiv w:val="1"/>
      <w:marLeft w:val="0"/>
      <w:marRight w:val="0"/>
      <w:marTop w:val="0"/>
      <w:marBottom w:val="0"/>
      <w:divBdr>
        <w:top w:val="none" w:sz="0" w:space="0" w:color="auto"/>
        <w:left w:val="none" w:sz="0" w:space="0" w:color="auto"/>
        <w:bottom w:val="none" w:sz="0" w:space="0" w:color="auto"/>
        <w:right w:val="none" w:sz="0" w:space="0" w:color="auto"/>
      </w:divBdr>
    </w:div>
    <w:div w:id="836728765">
      <w:bodyDiv w:val="1"/>
      <w:marLeft w:val="0"/>
      <w:marRight w:val="0"/>
      <w:marTop w:val="0"/>
      <w:marBottom w:val="0"/>
      <w:divBdr>
        <w:top w:val="none" w:sz="0" w:space="0" w:color="auto"/>
        <w:left w:val="none" w:sz="0" w:space="0" w:color="auto"/>
        <w:bottom w:val="none" w:sz="0" w:space="0" w:color="auto"/>
        <w:right w:val="none" w:sz="0" w:space="0" w:color="auto"/>
      </w:divBdr>
    </w:div>
    <w:div w:id="868487648">
      <w:bodyDiv w:val="1"/>
      <w:marLeft w:val="0"/>
      <w:marRight w:val="0"/>
      <w:marTop w:val="0"/>
      <w:marBottom w:val="0"/>
      <w:divBdr>
        <w:top w:val="none" w:sz="0" w:space="0" w:color="auto"/>
        <w:left w:val="none" w:sz="0" w:space="0" w:color="auto"/>
        <w:bottom w:val="none" w:sz="0" w:space="0" w:color="auto"/>
        <w:right w:val="none" w:sz="0" w:space="0" w:color="auto"/>
      </w:divBdr>
      <w:divsChild>
        <w:div w:id="1587566910">
          <w:marLeft w:val="0"/>
          <w:marRight w:val="0"/>
          <w:marTop w:val="0"/>
          <w:marBottom w:val="0"/>
          <w:divBdr>
            <w:top w:val="none" w:sz="0" w:space="0" w:color="auto"/>
            <w:left w:val="none" w:sz="0" w:space="0" w:color="auto"/>
            <w:bottom w:val="none" w:sz="0" w:space="0" w:color="auto"/>
            <w:right w:val="none" w:sz="0" w:space="0" w:color="auto"/>
          </w:divBdr>
        </w:div>
      </w:divsChild>
    </w:div>
    <w:div w:id="919215345">
      <w:bodyDiv w:val="1"/>
      <w:marLeft w:val="0"/>
      <w:marRight w:val="0"/>
      <w:marTop w:val="0"/>
      <w:marBottom w:val="0"/>
      <w:divBdr>
        <w:top w:val="none" w:sz="0" w:space="0" w:color="auto"/>
        <w:left w:val="none" w:sz="0" w:space="0" w:color="auto"/>
        <w:bottom w:val="none" w:sz="0" w:space="0" w:color="auto"/>
        <w:right w:val="none" w:sz="0" w:space="0" w:color="auto"/>
      </w:divBdr>
      <w:divsChild>
        <w:div w:id="449403274">
          <w:marLeft w:val="0"/>
          <w:marRight w:val="0"/>
          <w:marTop w:val="0"/>
          <w:marBottom w:val="0"/>
          <w:divBdr>
            <w:top w:val="none" w:sz="0" w:space="0" w:color="auto"/>
            <w:left w:val="none" w:sz="0" w:space="0" w:color="auto"/>
            <w:bottom w:val="none" w:sz="0" w:space="0" w:color="auto"/>
            <w:right w:val="none" w:sz="0" w:space="0" w:color="auto"/>
          </w:divBdr>
          <w:divsChild>
            <w:div w:id="483083958">
              <w:marLeft w:val="0"/>
              <w:marRight w:val="0"/>
              <w:marTop w:val="0"/>
              <w:marBottom w:val="0"/>
              <w:divBdr>
                <w:top w:val="none" w:sz="0" w:space="0" w:color="auto"/>
                <w:left w:val="none" w:sz="0" w:space="0" w:color="auto"/>
                <w:bottom w:val="none" w:sz="0" w:space="0" w:color="auto"/>
                <w:right w:val="none" w:sz="0" w:space="0" w:color="auto"/>
              </w:divBdr>
            </w:div>
            <w:div w:id="928538381">
              <w:marLeft w:val="0"/>
              <w:marRight w:val="0"/>
              <w:marTop w:val="0"/>
              <w:marBottom w:val="0"/>
              <w:divBdr>
                <w:top w:val="none" w:sz="0" w:space="0" w:color="auto"/>
                <w:left w:val="none" w:sz="0" w:space="0" w:color="auto"/>
                <w:bottom w:val="none" w:sz="0" w:space="0" w:color="auto"/>
                <w:right w:val="none" w:sz="0" w:space="0" w:color="auto"/>
              </w:divBdr>
            </w:div>
            <w:div w:id="1057507220">
              <w:marLeft w:val="0"/>
              <w:marRight w:val="0"/>
              <w:marTop w:val="0"/>
              <w:marBottom w:val="0"/>
              <w:divBdr>
                <w:top w:val="none" w:sz="0" w:space="0" w:color="auto"/>
                <w:left w:val="none" w:sz="0" w:space="0" w:color="auto"/>
                <w:bottom w:val="none" w:sz="0" w:space="0" w:color="auto"/>
                <w:right w:val="none" w:sz="0" w:space="0" w:color="auto"/>
              </w:divBdr>
            </w:div>
            <w:div w:id="1898197756">
              <w:marLeft w:val="0"/>
              <w:marRight w:val="0"/>
              <w:marTop w:val="0"/>
              <w:marBottom w:val="0"/>
              <w:divBdr>
                <w:top w:val="none" w:sz="0" w:space="0" w:color="auto"/>
                <w:left w:val="none" w:sz="0" w:space="0" w:color="auto"/>
                <w:bottom w:val="none" w:sz="0" w:space="0" w:color="auto"/>
                <w:right w:val="none" w:sz="0" w:space="0" w:color="auto"/>
              </w:divBdr>
            </w:div>
            <w:div w:id="20958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6719">
      <w:bodyDiv w:val="1"/>
      <w:marLeft w:val="0"/>
      <w:marRight w:val="0"/>
      <w:marTop w:val="0"/>
      <w:marBottom w:val="0"/>
      <w:divBdr>
        <w:top w:val="none" w:sz="0" w:space="0" w:color="auto"/>
        <w:left w:val="none" w:sz="0" w:space="0" w:color="auto"/>
        <w:bottom w:val="none" w:sz="0" w:space="0" w:color="auto"/>
        <w:right w:val="none" w:sz="0" w:space="0" w:color="auto"/>
      </w:divBdr>
    </w:div>
    <w:div w:id="1155997577">
      <w:bodyDiv w:val="1"/>
      <w:marLeft w:val="0"/>
      <w:marRight w:val="0"/>
      <w:marTop w:val="0"/>
      <w:marBottom w:val="0"/>
      <w:divBdr>
        <w:top w:val="none" w:sz="0" w:space="0" w:color="auto"/>
        <w:left w:val="none" w:sz="0" w:space="0" w:color="auto"/>
        <w:bottom w:val="none" w:sz="0" w:space="0" w:color="auto"/>
        <w:right w:val="none" w:sz="0" w:space="0" w:color="auto"/>
      </w:divBdr>
      <w:divsChild>
        <w:div w:id="665862290">
          <w:marLeft w:val="0"/>
          <w:marRight w:val="0"/>
          <w:marTop w:val="0"/>
          <w:marBottom w:val="0"/>
          <w:divBdr>
            <w:top w:val="none" w:sz="0" w:space="0" w:color="auto"/>
            <w:left w:val="none" w:sz="0" w:space="0" w:color="auto"/>
            <w:bottom w:val="none" w:sz="0" w:space="0" w:color="auto"/>
            <w:right w:val="none" w:sz="0" w:space="0" w:color="auto"/>
          </w:divBdr>
        </w:div>
      </w:divsChild>
    </w:div>
    <w:div w:id="1293557351">
      <w:bodyDiv w:val="1"/>
      <w:marLeft w:val="0"/>
      <w:marRight w:val="0"/>
      <w:marTop w:val="0"/>
      <w:marBottom w:val="0"/>
      <w:divBdr>
        <w:top w:val="none" w:sz="0" w:space="0" w:color="auto"/>
        <w:left w:val="none" w:sz="0" w:space="0" w:color="auto"/>
        <w:bottom w:val="none" w:sz="0" w:space="0" w:color="auto"/>
        <w:right w:val="none" w:sz="0" w:space="0" w:color="auto"/>
      </w:divBdr>
    </w:div>
    <w:div w:id="1717315428">
      <w:bodyDiv w:val="1"/>
      <w:marLeft w:val="0"/>
      <w:marRight w:val="0"/>
      <w:marTop w:val="0"/>
      <w:marBottom w:val="0"/>
      <w:divBdr>
        <w:top w:val="none" w:sz="0" w:space="0" w:color="auto"/>
        <w:left w:val="none" w:sz="0" w:space="0" w:color="auto"/>
        <w:bottom w:val="none" w:sz="0" w:space="0" w:color="auto"/>
        <w:right w:val="none" w:sz="0" w:space="0" w:color="auto"/>
      </w:divBdr>
    </w:div>
    <w:div w:id="1726027559">
      <w:bodyDiv w:val="1"/>
      <w:marLeft w:val="0"/>
      <w:marRight w:val="0"/>
      <w:marTop w:val="0"/>
      <w:marBottom w:val="0"/>
      <w:divBdr>
        <w:top w:val="none" w:sz="0" w:space="0" w:color="auto"/>
        <w:left w:val="none" w:sz="0" w:space="0" w:color="auto"/>
        <w:bottom w:val="none" w:sz="0" w:space="0" w:color="auto"/>
        <w:right w:val="none" w:sz="0" w:space="0" w:color="auto"/>
      </w:divBdr>
    </w:div>
    <w:div w:id="1825051036">
      <w:bodyDiv w:val="1"/>
      <w:marLeft w:val="0"/>
      <w:marRight w:val="0"/>
      <w:marTop w:val="0"/>
      <w:marBottom w:val="0"/>
      <w:divBdr>
        <w:top w:val="none" w:sz="0" w:space="0" w:color="auto"/>
        <w:left w:val="none" w:sz="0" w:space="0" w:color="auto"/>
        <w:bottom w:val="none" w:sz="0" w:space="0" w:color="auto"/>
        <w:right w:val="none" w:sz="0" w:space="0" w:color="auto"/>
      </w:divBdr>
    </w:div>
    <w:div w:id="19981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3EEF-5ABA-4D8C-9B23-46EAE54A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7</Pages>
  <Words>4194</Words>
  <Characters>23552</Characters>
  <Application>Microsoft Office Word</Application>
  <DocSecurity>0</DocSecurity>
  <Lines>196</Lines>
  <Paragraphs>55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Důvodová zpráva :</vt:lpstr>
      <vt:lpstr>Důvodová zpráva :</vt:lpstr>
    </vt:vector>
  </TitlesOfParts>
  <Company>MMO</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 :</dc:title>
  <dc:creator>oer26</dc:creator>
  <cp:lastModifiedBy>Kateřina Ondrová</cp:lastModifiedBy>
  <cp:revision>220</cp:revision>
  <cp:lastPrinted>2021-02-08T09:24:00Z</cp:lastPrinted>
  <dcterms:created xsi:type="dcterms:W3CDTF">2021-02-02T15:56:00Z</dcterms:created>
  <dcterms:modified xsi:type="dcterms:W3CDTF">2021-02-16T09:27:00Z</dcterms:modified>
</cp:coreProperties>
</file>