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0C42" w14:textId="77777777" w:rsidR="003C7C65" w:rsidRPr="008701F9" w:rsidRDefault="00D256EA" w:rsidP="00E30819">
      <w:pPr>
        <w:pStyle w:val="Nadpis1"/>
      </w:pPr>
      <w:r w:rsidRPr="008701F9">
        <w:t>DŮVODOVÁ ZPRÁVA</w:t>
      </w:r>
    </w:p>
    <w:p w14:paraId="5B4F39BC" w14:textId="77777777" w:rsidR="00E30819" w:rsidRDefault="004A0016" w:rsidP="00093C1B">
      <w:pPr>
        <w:spacing w:before="120" w:after="240" w:line="240" w:lineRule="auto"/>
        <w:jc w:val="both"/>
      </w:pPr>
      <w:r>
        <w:rPr>
          <w:noProof/>
        </w:rPr>
        <w:pict w14:anchorId="3A72BF7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966C195" w14:textId="77777777" w:rsidR="001B0754" w:rsidRPr="00C00CDB" w:rsidRDefault="00BF1F4E" w:rsidP="00093C1B">
      <w:pPr>
        <w:spacing w:before="120" w:after="240" w:line="240" w:lineRule="auto"/>
        <w:jc w:val="both"/>
      </w:pPr>
      <w:r w:rsidRPr="00C00CDB">
        <w:t>Zastupitelstvu</w:t>
      </w:r>
      <w:r w:rsidR="00A6433C" w:rsidRPr="00C00CDB">
        <w:t xml:space="preserve"> města</w:t>
      </w:r>
      <w:r w:rsidR="004562E2" w:rsidRPr="00C00CDB">
        <w:t xml:space="preserve"> j</w:t>
      </w:r>
      <w:r w:rsidR="00151756" w:rsidRPr="00C00CDB">
        <w:t>e předkládán</w:t>
      </w:r>
      <w:r w:rsidR="00632EEB" w:rsidRPr="00C00CDB">
        <w:t xml:space="preserve"> </w:t>
      </w:r>
      <w:r w:rsidR="00632EEB" w:rsidRPr="00C00CDB">
        <w:rPr>
          <w:b/>
          <w:bCs/>
        </w:rPr>
        <w:t>Dodatek</w:t>
      </w:r>
      <w:r w:rsidR="00632EEB" w:rsidRPr="00C00CDB">
        <w:t xml:space="preserve"> ke „Společné úmluvě mezi hlavním partnerem a partnery projektu pro operační program URBACT III“ (dále jen „Dodatek“ a „Společná úmluva“), do něhož se promítá </w:t>
      </w:r>
      <w:r w:rsidR="00033873" w:rsidRPr="00C00CDB">
        <w:rPr>
          <w:b/>
          <w:bCs/>
        </w:rPr>
        <w:t xml:space="preserve">prodloužení realizace a </w:t>
      </w:r>
      <w:r w:rsidR="00632EEB" w:rsidRPr="00C00CDB">
        <w:rPr>
          <w:b/>
          <w:bCs/>
        </w:rPr>
        <w:t xml:space="preserve">změna </w:t>
      </w:r>
      <w:r w:rsidR="00033873" w:rsidRPr="00C00CDB">
        <w:rPr>
          <w:b/>
          <w:bCs/>
        </w:rPr>
        <w:t xml:space="preserve">termínu ukončení </w:t>
      </w:r>
      <w:r w:rsidR="0012646B" w:rsidRPr="00C00CDB">
        <w:rPr>
          <w:b/>
          <w:bCs/>
        </w:rPr>
        <w:t>projektu</w:t>
      </w:r>
      <w:r w:rsidR="0012646B" w:rsidRPr="00C00CDB">
        <w:t xml:space="preserve"> </w:t>
      </w:r>
      <w:r w:rsidR="00632EEB" w:rsidRPr="00C00CDB">
        <w:rPr>
          <w:b/>
          <w:bCs/>
        </w:rPr>
        <w:t>C</w:t>
      </w:r>
      <w:r w:rsidR="009E5A35" w:rsidRPr="00C00CDB">
        <w:rPr>
          <w:b/>
          <w:bCs/>
        </w:rPr>
        <w:t>om.unity.lab</w:t>
      </w:r>
      <w:r w:rsidR="009E5A35" w:rsidRPr="00C00CDB">
        <w:t xml:space="preserve"> </w:t>
      </w:r>
      <w:r w:rsidR="0012646B" w:rsidRPr="00C00CDB">
        <w:t>financovaného z programu URBACT III</w:t>
      </w:r>
      <w:r w:rsidR="00632EEB" w:rsidRPr="00C00CDB">
        <w:t>, dle rozhodnutí řídícího orgánu, které tvoří přílohu č. 1 a 2 předloženého materiálu.</w:t>
      </w:r>
      <w:r w:rsidR="004A0016">
        <w:rPr>
          <w:noProof/>
        </w:rPr>
        <w:pict w14:anchorId="13ED111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61D3444" w14:textId="77777777" w:rsidR="00AD2CDA" w:rsidRPr="00C00CDB" w:rsidRDefault="00AD2CDA" w:rsidP="00040BF2">
      <w:pPr>
        <w:jc w:val="both"/>
      </w:pPr>
      <w:r w:rsidRPr="00C00CDB">
        <w:t xml:space="preserve">Dotační </w:t>
      </w:r>
      <w:r w:rsidRPr="00C00CDB">
        <w:rPr>
          <w:b/>
          <w:bCs/>
        </w:rPr>
        <w:t>program URABCT</w:t>
      </w:r>
      <w:r w:rsidRPr="00C00CDB">
        <w:t xml:space="preserve"> otevírá možnost</w:t>
      </w:r>
      <w:r w:rsidR="00BF1F4E" w:rsidRPr="00C00CDB">
        <w:t>i</w:t>
      </w:r>
      <w:r w:rsidRPr="00C00CDB">
        <w:t xml:space="preserve"> posílit kvalitu strategického řízení, podporuje výměnu zkušeností mezi evropskými městy a dále uplatnění a šíření znalostí ve všech oblastech spojených s udržitelným rozvojem měst.</w:t>
      </w:r>
      <w:r w:rsidR="00E76EBD" w:rsidRPr="00C00CDB">
        <w:t xml:space="preserve"> </w:t>
      </w:r>
    </w:p>
    <w:p w14:paraId="696AE4F3" w14:textId="067CE571" w:rsidR="00AD2CDA" w:rsidRPr="00C00CDB" w:rsidRDefault="00E76EBD" w:rsidP="00040BF2">
      <w:pPr>
        <w:jc w:val="both"/>
      </w:pPr>
      <w:r w:rsidRPr="00C00CDB">
        <w:rPr>
          <w:b/>
          <w:bCs/>
        </w:rPr>
        <w:t>Cílem zapojení</w:t>
      </w:r>
      <w:r w:rsidRPr="00C00CDB">
        <w:t xml:space="preserve"> do projektu</w:t>
      </w:r>
      <w:r w:rsidR="00B61EBA" w:rsidRPr="00C00CDB">
        <w:t xml:space="preserve"> je </w:t>
      </w:r>
      <w:r w:rsidR="00B61EBA" w:rsidRPr="00C00CDB">
        <w:rPr>
          <w:b/>
          <w:bCs/>
        </w:rPr>
        <w:t xml:space="preserve">posílit strategické řízení pro oblasti </w:t>
      </w:r>
      <w:r w:rsidR="0057108C" w:rsidRPr="00C00CDB">
        <w:rPr>
          <w:b/>
          <w:bCs/>
        </w:rPr>
        <w:t>s výrazně zhoršenými</w:t>
      </w:r>
      <w:r w:rsidR="00B61EBA" w:rsidRPr="00C00CDB">
        <w:rPr>
          <w:b/>
          <w:bCs/>
        </w:rPr>
        <w:t xml:space="preserve"> sociálním</w:t>
      </w:r>
      <w:r w:rsidR="0057108C" w:rsidRPr="00C00CDB">
        <w:rPr>
          <w:b/>
          <w:bCs/>
        </w:rPr>
        <w:t>i</w:t>
      </w:r>
      <w:r w:rsidR="00B61EBA" w:rsidRPr="00C00CDB">
        <w:rPr>
          <w:b/>
          <w:bCs/>
        </w:rPr>
        <w:t>, ekonomickým</w:t>
      </w:r>
      <w:r w:rsidR="0057108C" w:rsidRPr="00C00CDB">
        <w:rPr>
          <w:b/>
          <w:bCs/>
        </w:rPr>
        <w:t>i</w:t>
      </w:r>
      <w:r w:rsidR="00F97AD8" w:rsidRPr="00C00CDB">
        <w:rPr>
          <w:b/>
          <w:bCs/>
        </w:rPr>
        <w:t>, environmentálními</w:t>
      </w:r>
      <w:r w:rsidR="0057108C" w:rsidRPr="00C00CDB">
        <w:rPr>
          <w:b/>
          <w:bCs/>
        </w:rPr>
        <w:t xml:space="preserve"> a urbánním</w:t>
      </w:r>
      <w:r w:rsidR="00F97AD8" w:rsidRPr="00C00CDB">
        <w:rPr>
          <w:b/>
          <w:bCs/>
        </w:rPr>
        <w:t>i</w:t>
      </w:r>
      <w:r w:rsidR="0057108C" w:rsidRPr="00C00CDB">
        <w:rPr>
          <w:b/>
          <w:bCs/>
        </w:rPr>
        <w:t xml:space="preserve"> podmínkami</w:t>
      </w:r>
      <w:r w:rsidR="00040BF2" w:rsidRPr="00C00CDB">
        <w:t xml:space="preserve"> na území města Ostravy</w:t>
      </w:r>
      <w:r w:rsidR="0057108C" w:rsidRPr="00C00CDB">
        <w:rPr>
          <w:i/>
          <w:iCs/>
        </w:rPr>
        <w:t xml:space="preserve"> </w:t>
      </w:r>
      <w:r w:rsidR="008F4EDB" w:rsidRPr="00C00CDB">
        <w:rPr>
          <w:i/>
          <w:iCs/>
        </w:rPr>
        <w:t>(</w:t>
      </w:r>
      <w:r w:rsidR="0057108C" w:rsidRPr="00C00CDB">
        <w:rPr>
          <w:i/>
          <w:iCs/>
        </w:rPr>
        <w:t xml:space="preserve">!!! tento </w:t>
      </w:r>
      <w:r w:rsidR="008F4EDB" w:rsidRPr="00C00CDB">
        <w:rPr>
          <w:i/>
          <w:iCs/>
        </w:rPr>
        <w:t xml:space="preserve">projekt </w:t>
      </w:r>
      <w:r w:rsidR="0057108C" w:rsidRPr="00C00CDB">
        <w:rPr>
          <w:i/>
          <w:iCs/>
        </w:rPr>
        <w:t xml:space="preserve">neřeší sociálně vyloučené </w:t>
      </w:r>
      <w:r w:rsidR="008F4EDB" w:rsidRPr="00C00CDB">
        <w:rPr>
          <w:i/>
          <w:iCs/>
        </w:rPr>
        <w:t>lokality</w:t>
      </w:r>
      <w:r w:rsidR="0057108C" w:rsidRPr="00C00CDB">
        <w:rPr>
          <w:i/>
          <w:iCs/>
        </w:rPr>
        <w:t>)</w:t>
      </w:r>
      <w:r w:rsidRPr="00C00CDB">
        <w:t>,</w:t>
      </w:r>
      <w:r w:rsidR="00B61EBA" w:rsidRPr="00C00CDB">
        <w:t xml:space="preserve"> a to inspirací u města Lisabon, které před 10 lety zpracovalo </w:t>
      </w:r>
      <w:r w:rsidR="0057108C" w:rsidRPr="00C00CDB">
        <w:rPr>
          <w:b/>
          <w:bCs/>
        </w:rPr>
        <w:t>strategii rozvoje pro oblasti prioritní intervence</w:t>
      </w:r>
      <w:r w:rsidR="00B61EBA" w:rsidRPr="00C00CDB">
        <w:rPr>
          <w:b/>
          <w:bCs/>
        </w:rPr>
        <w:t xml:space="preserve"> a na základě 4 stěžejních nástrojů</w:t>
      </w:r>
      <w:r w:rsidR="00B61EBA" w:rsidRPr="00C00CDB">
        <w:t xml:space="preserve"> ji s úspěchem realizuje. V roce 2017 </w:t>
      </w:r>
      <w:r w:rsidR="0057108C" w:rsidRPr="00C00CDB">
        <w:t xml:space="preserve">dokonce </w:t>
      </w:r>
      <w:r w:rsidR="00B61EBA" w:rsidRPr="00C00CDB">
        <w:t>získal</w:t>
      </w:r>
      <w:r w:rsidRPr="00C00CDB">
        <w:t xml:space="preserve">o i ocenění Evropské komise </w:t>
      </w:r>
      <w:r w:rsidR="00F97AD8" w:rsidRPr="00C00CDB">
        <w:t xml:space="preserve">- </w:t>
      </w:r>
      <w:r w:rsidRPr="00C00CDB">
        <w:t xml:space="preserve">tzv. </w:t>
      </w:r>
      <w:proofErr w:type="spellStart"/>
      <w:r w:rsidRPr="00C00CDB">
        <w:t>Good</w:t>
      </w:r>
      <w:proofErr w:type="spellEnd"/>
      <w:r w:rsidRPr="00C00CDB">
        <w:t xml:space="preserve"> </w:t>
      </w:r>
      <w:proofErr w:type="spellStart"/>
      <w:r w:rsidRPr="00C00CDB">
        <w:t>practice</w:t>
      </w:r>
      <w:proofErr w:type="spellEnd"/>
      <w:r w:rsidRPr="00C00CDB">
        <w:t xml:space="preserve"> city. </w:t>
      </w:r>
    </w:p>
    <w:p w14:paraId="44DE2CB9" w14:textId="77777777" w:rsidR="00040BF2" w:rsidRPr="00C00CDB" w:rsidRDefault="00E76EBD" w:rsidP="00040BF2">
      <w:pPr>
        <w:jc w:val="both"/>
      </w:pPr>
      <w:r w:rsidRPr="00C00CDB">
        <w:t>S</w:t>
      </w:r>
      <w:r w:rsidR="00AD2CDA" w:rsidRPr="00C00CDB">
        <w:t>dílení dobré praxe</w:t>
      </w:r>
      <w:r w:rsidR="00040BF2" w:rsidRPr="00C00CDB">
        <w:t xml:space="preserve"> a</w:t>
      </w:r>
      <w:r w:rsidR="00AD2CDA" w:rsidRPr="00C00CDB">
        <w:t xml:space="preserve"> know-how</w:t>
      </w:r>
      <w:r w:rsidRPr="00C00CDB">
        <w:t>, výměna zkušeností, postupů, překážek</w:t>
      </w:r>
      <w:r w:rsidR="00040BF2" w:rsidRPr="00C00CDB">
        <w:t xml:space="preserve"> a</w:t>
      </w:r>
      <w:r w:rsidRPr="00C00CDB">
        <w:t xml:space="preserve"> d</w:t>
      </w:r>
      <w:r w:rsidR="00AD2CDA" w:rsidRPr="00C00CDB">
        <w:t>osažených výsledků</w:t>
      </w:r>
      <w:r w:rsidR="00040BF2" w:rsidRPr="00C00CDB">
        <w:t xml:space="preserve"> </w:t>
      </w:r>
      <w:r w:rsidRPr="00C00CDB">
        <w:t xml:space="preserve">probíhá </w:t>
      </w:r>
      <w:r w:rsidR="00040BF2" w:rsidRPr="00C00CDB">
        <w:t xml:space="preserve">pod metodickým vedením Lisabonu za účasti dalších 7 měst. </w:t>
      </w:r>
    </w:p>
    <w:p w14:paraId="1A668502" w14:textId="77777777" w:rsidR="0057108C" w:rsidRPr="00C00CDB" w:rsidRDefault="00E76EBD" w:rsidP="00040BF2">
      <w:pPr>
        <w:jc w:val="both"/>
      </w:pPr>
      <w:r w:rsidRPr="00C00CDB">
        <w:rPr>
          <w:b/>
          <w:bCs/>
        </w:rPr>
        <w:t>Na místní úrovni</w:t>
      </w:r>
      <w:r w:rsidR="008F4EDB" w:rsidRPr="00C00CDB">
        <w:t>, za spolupráce s místními stakeholdery a aktivními občany, dochází k vytvoření plánu přenosu,</w:t>
      </w:r>
      <w:r w:rsidR="0057108C" w:rsidRPr="00C00CDB">
        <w:t xml:space="preserve"> tj.</w:t>
      </w:r>
      <w:r w:rsidR="008F4EDB" w:rsidRPr="00C00CDB">
        <w:t xml:space="preserve"> </w:t>
      </w:r>
      <w:r w:rsidR="0057108C" w:rsidRPr="00C00CDB">
        <w:t>plánujeme, jak nejlépe zužitkovat nabytých znalostí a uplatnit je v místních podmínkách.</w:t>
      </w:r>
    </w:p>
    <w:p w14:paraId="6A09625C" w14:textId="77777777" w:rsidR="00495335" w:rsidRPr="00C00CDB" w:rsidRDefault="00AD2CDA" w:rsidP="004A0016">
      <w:pPr>
        <w:jc w:val="both"/>
      </w:pPr>
      <w:r w:rsidRPr="00C00CDB">
        <w:rPr>
          <w:u w:val="single"/>
        </w:rPr>
        <w:t>V</w:t>
      </w:r>
      <w:r w:rsidR="00E27100" w:rsidRPr="00C00CDB">
        <w:rPr>
          <w:u w:val="single"/>
        </w:rPr>
        <w:t>zhledem k</w:t>
      </w:r>
      <w:r w:rsidR="00040BF2" w:rsidRPr="00C00CDB">
        <w:rPr>
          <w:u w:val="single"/>
        </w:rPr>
        <w:t> časovým a finančním možnostem projektu com.unity.lab</w:t>
      </w:r>
      <w:r w:rsidR="00040BF2" w:rsidRPr="00C00CDB">
        <w:t xml:space="preserve"> jsme pro pilotní testování zvolili jednu lokalitu, a to sídliště Dubina</w:t>
      </w:r>
      <w:r w:rsidR="001B0754" w:rsidRPr="00C00CDB">
        <w:t xml:space="preserve">. Z mnoha studií a analýz vyplývá, že se jedná o méně žádanou, nízkopříjmovou </w:t>
      </w:r>
      <w:r w:rsidRPr="00C00CDB">
        <w:t xml:space="preserve">lokalitu, </w:t>
      </w:r>
      <w:r w:rsidR="001B0754" w:rsidRPr="00C00CDB">
        <w:t>s vyšším podílem negativních socioekonomických jevů</w:t>
      </w:r>
      <w:r w:rsidR="00495335" w:rsidRPr="00C00CDB">
        <w:t xml:space="preserve">. </w:t>
      </w:r>
      <w:r w:rsidR="00495335" w:rsidRPr="00C00CDB">
        <w:br/>
        <w:t>Přehlížení narůstajících problémů dané lokality může mít vzhledem k vysokému počtu obyvatel, kterých se zhoršené životní podmínky dotýkají, významný negativní dopad na celé město.</w:t>
      </w:r>
    </w:p>
    <w:p w14:paraId="050F4BF3" w14:textId="77777777" w:rsidR="00CB08D5" w:rsidRPr="00C00CDB" w:rsidRDefault="00CB08D5" w:rsidP="004A0016">
      <w:pPr>
        <w:jc w:val="both"/>
      </w:pPr>
      <w:r w:rsidRPr="00C00CDB">
        <w:t>Zapojení do projektu umožňuje osvojení si nových nástrojů strategického řízení a vytvoření manuálu</w:t>
      </w:r>
      <w:r w:rsidR="00F25E4A" w:rsidRPr="00C00CDB">
        <w:t xml:space="preserve"> pro budoucí realizaci</w:t>
      </w:r>
      <w:r w:rsidRPr="00C00CDB">
        <w:t xml:space="preserve">. Realizace navržených kroků, tj. podoba, rozsah či časový horizont, </w:t>
      </w:r>
      <w:r w:rsidR="00F25E4A" w:rsidRPr="00C00CDB">
        <w:t xml:space="preserve">však </w:t>
      </w:r>
      <w:r w:rsidRPr="00C00CDB">
        <w:t>závisí na městě samotném a jeho prioritách při rozhodování.</w:t>
      </w:r>
    </w:p>
    <w:p w14:paraId="36E16BAA" w14:textId="77777777" w:rsidR="004E3C77" w:rsidRPr="00C00CDB" w:rsidRDefault="00495335" w:rsidP="001B0754">
      <w:pPr>
        <w:jc w:val="both"/>
        <w:rPr>
          <w:b/>
          <w:bCs/>
        </w:rPr>
      </w:pPr>
      <w:r w:rsidRPr="00C00CDB">
        <w:t xml:space="preserve"> </w:t>
      </w:r>
      <w:r w:rsidR="004E3C77" w:rsidRPr="00C00CDB">
        <w:rPr>
          <w:b/>
          <w:bCs/>
        </w:rPr>
        <w:t xml:space="preserve">Zrealizované aktivity </w:t>
      </w:r>
      <w:r w:rsidR="00690CDD" w:rsidRPr="00C00CDB">
        <w:rPr>
          <w:b/>
          <w:bCs/>
        </w:rPr>
        <w:t>v roce 2020</w:t>
      </w:r>
    </w:p>
    <w:p w14:paraId="00EC300E" w14:textId="77777777" w:rsidR="00690CDD" w:rsidRPr="00C00CDB" w:rsidRDefault="00690CDD" w:rsidP="00690CDD">
      <w:pPr>
        <w:pStyle w:val="Odstavecseseznamem"/>
        <w:numPr>
          <w:ilvl w:val="0"/>
          <w:numId w:val="16"/>
        </w:numPr>
        <w:jc w:val="both"/>
      </w:pPr>
      <w:r w:rsidRPr="00C00CDB">
        <w:t>realizace 9 setkání místní pracovní skupiny</w:t>
      </w:r>
    </w:p>
    <w:p w14:paraId="7FFC2DA6" w14:textId="77777777" w:rsidR="006101BF" w:rsidRPr="00C00CDB" w:rsidRDefault="006101BF" w:rsidP="00690CDD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C00CDB">
        <w:t>příprava mapování – forma, ukazatele, výběr lokality, obsah dotazníkového šetření</w:t>
      </w:r>
    </w:p>
    <w:p w14:paraId="08702BBA" w14:textId="77777777" w:rsidR="00690CDD" w:rsidRPr="00C00CDB" w:rsidRDefault="00690CDD" w:rsidP="00690CDD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C00CDB">
        <w:t>perceptivní mapování sociálních, ekonomických, urbánních a environmentálních aspektů formou dotazníkového šetření a diskusí s místními obyvateli</w:t>
      </w:r>
      <w:r w:rsidR="006101BF" w:rsidRPr="00C00CDB">
        <w:t xml:space="preserve"> </w:t>
      </w:r>
    </w:p>
    <w:p w14:paraId="524A254F" w14:textId="77777777" w:rsidR="006101BF" w:rsidRPr="00C00CDB" w:rsidRDefault="006101BF" w:rsidP="006101B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C00CDB">
        <w:t>rozhovory s potenciálními iniciátory intervencí lokality sídliště (sportovní kluby, místní ZŠ, aktivní občané)</w:t>
      </w:r>
    </w:p>
    <w:p w14:paraId="01861E05" w14:textId="77777777" w:rsidR="00495335" w:rsidRPr="00C00CDB" w:rsidRDefault="00495335" w:rsidP="006101BF">
      <w:pPr>
        <w:pStyle w:val="Odstavecseseznamem"/>
        <w:numPr>
          <w:ilvl w:val="0"/>
          <w:numId w:val="16"/>
        </w:numPr>
        <w:jc w:val="both"/>
        <w:rPr>
          <w:b/>
          <w:bCs/>
        </w:rPr>
      </w:pPr>
      <w:r w:rsidRPr="00C00CDB">
        <w:t>klíčová data vzešlá z dotazníkového šetření byla graficky znázorněna na velkoplošných panelech</w:t>
      </w:r>
    </w:p>
    <w:p w14:paraId="113A62E3" w14:textId="77777777" w:rsidR="00AD2CDA" w:rsidRPr="00C00CDB" w:rsidRDefault="00690CDD" w:rsidP="00690CDD">
      <w:pPr>
        <w:pStyle w:val="Odstavecseseznamem"/>
        <w:numPr>
          <w:ilvl w:val="0"/>
          <w:numId w:val="16"/>
        </w:numPr>
        <w:jc w:val="both"/>
        <w:rPr>
          <w:b/>
          <w:bCs/>
          <w:i/>
          <w:iCs/>
        </w:rPr>
      </w:pPr>
      <w:r w:rsidRPr="00C00CDB">
        <w:lastRenderedPageBreak/>
        <w:t>z</w:t>
      </w:r>
      <w:r w:rsidR="004E3C77" w:rsidRPr="00C00CDB">
        <w:t xml:space="preserve">pracování </w:t>
      </w:r>
      <w:r w:rsidRPr="00C00CDB">
        <w:t xml:space="preserve">výsledků do </w:t>
      </w:r>
      <w:r w:rsidR="004E3C77" w:rsidRPr="00C00CDB">
        <w:t xml:space="preserve">závěrečné zprávy </w:t>
      </w:r>
      <w:r w:rsidRPr="00C00CDB">
        <w:t xml:space="preserve">s doporučením na orientaci grantového schématu </w:t>
      </w:r>
      <w:r w:rsidRPr="00C00CDB">
        <w:rPr>
          <w:i/>
          <w:iCs/>
        </w:rPr>
        <w:t xml:space="preserve">Výsledná </w:t>
      </w:r>
      <w:r w:rsidR="00AD2CDA" w:rsidRPr="00C00CDB">
        <w:rPr>
          <w:i/>
          <w:iCs/>
        </w:rPr>
        <w:t>podoba</w:t>
      </w:r>
      <w:r w:rsidRPr="00C00CDB">
        <w:rPr>
          <w:i/>
          <w:iCs/>
        </w:rPr>
        <w:t xml:space="preserve"> (model)</w:t>
      </w:r>
      <w:r w:rsidR="00AD2CDA" w:rsidRPr="00C00CDB">
        <w:rPr>
          <w:i/>
          <w:iCs/>
        </w:rPr>
        <w:t xml:space="preserve"> grantového schématu podporujícího rozvoj komunitního</w:t>
      </w:r>
      <w:r w:rsidRPr="00C00CDB">
        <w:rPr>
          <w:i/>
          <w:iCs/>
        </w:rPr>
        <w:t xml:space="preserve"> a sousedského</w:t>
      </w:r>
      <w:r w:rsidR="00AD2CDA" w:rsidRPr="00C00CDB">
        <w:rPr>
          <w:i/>
          <w:iCs/>
        </w:rPr>
        <w:t xml:space="preserve"> života </w:t>
      </w:r>
      <w:r w:rsidRPr="00C00CDB">
        <w:rPr>
          <w:i/>
          <w:iCs/>
        </w:rPr>
        <w:t>bude finalizována v roce 2021 v závislosti na pilotním testování</w:t>
      </w:r>
      <w:r w:rsidR="00AD2CDA" w:rsidRPr="00C00CDB">
        <w:rPr>
          <w:i/>
          <w:iCs/>
        </w:rPr>
        <w:t xml:space="preserve">. Mohlo by jít například o pravidelně vyhlašovaný program podpory, který spočívá v rozvoji aktivit realizovaných samotnou občanskou společností s finanční a technickou podporou města. Podporovány by měly být vybrané projekty a aktivity v oblasti veřejného prostoru, sportovních, kulturních, společenských či edukativních akcí, sociální inovace, programy prevence, kreativního charakteru s cílem zmírnit ohrožení místních obyvatel sociálním vyloučením. Tyto aktivity by měly přispět k obecnému zlepšení míry spokojenosti obyvatel v dané </w:t>
      </w:r>
      <w:r w:rsidR="00E76EBD" w:rsidRPr="00C00CDB">
        <w:rPr>
          <w:i/>
          <w:iCs/>
        </w:rPr>
        <w:t>lokalitě,</w:t>
      </w:r>
      <w:r w:rsidR="00AD2CDA" w:rsidRPr="00C00CDB">
        <w:rPr>
          <w:i/>
          <w:iCs/>
        </w:rPr>
        <w:t xml:space="preserve"> </w:t>
      </w:r>
      <w:r w:rsidRPr="00C00CDB">
        <w:rPr>
          <w:i/>
          <w:iCs/>
        </w:rPr>
        <w:t xml:space="preserve">s dopadem </w:t>
      </w:r>
      <w:r w:rsidR="006101BF" w:rsidRPr="00C00CDB">
        <w:rPr>
          <w:i/>
          <w:iCs/>
        </w:rPr>
        <w:t>na celé město.</w:t>
      </w:r>
    </w:p>
    <w:p w14:paraId="07F0535E" w14:textId="77777777" w:rsidR="006101BF" w:rsidRPr="00C00CDB" w:rsidRDefault="00D84C6C" w:rsidP="006101BF">
      <w:r w:rsidRPr="00C00CDB">
        <w:rPr>
          <w:b/>
          <w:bCs/>
        </w:rPr>
        <w:t>Plán aktivit pro rok</w:t>
      </w:r>
      <w:r w:rsidR="00AD2CDA" w:rsidRPr="00C00CDB">
        <w:rPr>
          <w:b/>
          <w:bCs/>
        </w:rPr>
        <w:t xml:space="preserve"> 2021</w:t>
      </w:r>
      <w:r w:rsidR="00AD2CDA" w:rsidRPr="00C00CDB">
        <w:t xml:space="preserve"> </w:t>
      </w:r>
      <w:r w:rsidR="004E3C77" w:rsidRPr="00C00CDB">
        <w:br/>
      </w:r>
      <w:r w:rsidRPr="00C00CDB">
        <w:rPr>
          <w:sz w:val="20"/>
          <w:szCs w:val="20"/>
        </w:rPr>
        <w:t>(</w:t>
      </w:r>
      <w:r w:rsidR="004E3C77" w:rsidRPr="00C00CDB">
        <w:rPr>
          <w:i/>
          <w:iCs/>
          <w:sz w:val="20"/>
          <w:szCs w:val="20"/>
        </w:rPr>
        <w:t>respektive</w:t>
      </w:r>
      <w:r w:rsidR="004E3C77" w:rsidRPr="00C00CDB">
        <w:rPr>
          <w:sz w:val="20"/>
          <w:szCs w:val="20"/>
        </w:rPr>
        <w:t xml:space="preserve"> </w:t>
      </w:r>
      <w:r w:rsidRPr="00C00CDB">
        <w:rPr>
          <w:i/>
          <w:iCs/>
          <w:sz w:val="20"/>
          <w:szCs w:val="20"/>
        </w:rPr>
        <w:t>do 4.6.2021, kdy projekt</w:t>
      </w:r>
      <w:r w:rsidR="004E3C77" w:rsidRPr="00C00CDB">
        <w:rPr>
          <w:i/>
          <w:iCs/>
          <w:sz w:val="20"/>
          <w:szCs w:val="20"/>
        </w:rPr>
        <w:t xml:space="preserve"> oficiálně</w:t>
      </w:r>
      <w:r w:rsidRPr="00C00CDB">
        <w:rPr>
          <w:i/>
          <w:iCs/>
          <w:sz w:val="20"/>
          <w:szCs w:val="20"/>
        </w:rPr>
        <w:t xml:space="preserve"> končí a za předpokladu, že</w:t>
      </w:r>
      <w:r w:rsidR="004E3C77" w:rsidRPr="00C00CDB">
        <w:rPr>
          <w:i/>
          <w:iCs/>
          <w:sz w:val="20"/>
          <w:szCs w:val="20"/>
        </w:rPr>
        <w:t xml:space="preserve"> situace související s COVID-19 realizaci aktivit umožní</w:t>
      </w:r>
      <w:r w:rsidRPr="00C00CDB">
        <w:rPr>
          <w:sz w:val="20"/>
          <w:szCs w:val="20"/>
        </w:rPr>
        <w:t xml:space="preserve">) </w:t>
      </w:r>
    </w:p>
    <w:p w14:paraId="29BB0545" w14:textId="77777777" w:rsidR="006101BF" w:rsidRPr="00C00CDB" w:rsidRDefault="00D84C6C" w:rsidP="006101BF">
      <w:pPr>
        <w:pStyle w:val="Odstavecseseznamem"/>
        <w:numPr>
          <w:ilvl w:val="0"/>
          <w:numId w:val="16"/>
        </w:numPr>
      </w:pPr>
      <w:r w:rsidRPr="00C00CDB">
        <w:t>testování</w:t>
      </w:r>
      <w:r w:rsidR="00E27100" w:rsidRPr="00C00CDB">
        <w:t xml:space="preserve"> </w:t>
      </w:r>
      <w:r w:rsidR="004E3C77" w:rsidRPr="00C00CDB">
        <w:t>mikro projektů</w:t>
      </w:r>
      <w:r w:rsidR="00E27100" w:rsidRPr="00C00CDB">
        <w:t xml:space="preserve"> zaměřených na podporu sousedství </w:t>
      </w:r>
      <w:r w:rsidR="00AD2CDA" w:rsidRPr="00C00CDB">
        <w:t>na sídlišti Dubina</w:t>
      </w:r>
      <w:r w:rsidR="00E27100" w:rsidRPr="00C00CDB">
        <w:t xml:space="preserve"> se zapojením místních aktivních občanů</w:t>
      </w:r>
    </w:p>
    <w:p w14:paraId="06C5E82C" w14:textId="77777777" w:rsidR="006101BF" w:rsidRPr="00C00CDB" w:rsidRDefault="004E3C77" w:rsidP="006101BF">
      <w:pPr>
        <w:pStyle w:val="Odstavecseseznamem"/>
        <w:numPr>
          <w:ilvl w:val="0"/>
          <w:numId w:val="16"/>
        </w:numPr>
      </w:pPr>
      <w:r w:rsidRPr="00C00CDB">
        <w:t>zpracování</w:t>
      </w:r>
      <w:r w:rsidR="00AD2CDA" w:rsidRPr="00C00CDB">
        <w:t xml:space="preserve"> </w:t>
      </w:r>
      <w:r w:rsidR="00D84C6C" w:rsidRPr="00C00CDB">
        <w:t>model</w:t>
      </w:r>
      <w:r w:rsidRPr="00C00CDB">
        <w:t>u</w:t>
      </w:r>
      <w:r w:rsidR="00D84C6C" w:rsidRPr="00C00CDB">
        <w:t xml:space="preserve"> </w:t>
      </w:r>
      <w:r w:rsidR="00AD2CDA" w:rsidRPr="00C00CDB">
        <w:t xml:space="preserve">dotačního programu </w:t>
      </w:r>
      <w:r w:rsidR="00D84C6C" w:rsidRPr="00C00CDB">
        <w:t xml:space="preserve">pro budoucí využití </w:t>
      </w:r>
    </w:p>
    <w:p w14:paraId="71688F60" w14:textId="77777777" w:rsidR="004E3C77" w:rsidRPr="00C00CDB" w:rsidRDefault="00D84C6C" w:rsidP="006101BF">
      <w:pPr>
        <w:pStyle w:val="Odstavecseseznamem"/>
        <w:numPr>
          <w:ilvl w:val="0"/>
          <w:numId w:val="16"/>
        </w:numPr>
      </w:pPr>
      <w:r w:rsidRPr="00C00CDB">
        <w:t>d</w:t>
      </w:r>
      <w:r w:rsidR="00E76EBD" w:rsidRPr="00C00CDB">
        <w:t>iskuse</w:t>
      </w:r>
      <w:r w:rsidR="00AD2CDA" w:rsidRPr="00C00CDB">
        <w:t xml:space="preserve"> s vybranými městskými obvody</w:t>
      </w:r>
      <w:r w:rsidRPr="00C00CDB">
        <w:t xml:space="preserve"> ohledně zapojení </w:t>
      </w:r>
      <w:r w:rsidR="004E3C77" w:rsidRPr="00C00CDB">
        <w:t>grantového</w:t>
      </w:r>
      <w:r w:rsidRPr="00C00CDB">
        <w:t xml:space="preserve"> schématu do své agendy </w:t>
      </w:r>
      <w:r w:rsidR="004E3C77" w:rsidRPr="00C00CDB">
        <w:t xml:space="preserve">(podmínky zapojení, zájem, </w:t>
      </w:r>
      <w:r w:rsidR="00BF1F4E" w:rsidRPr="00C00CDB">
        <w:t>lokality</w:t>
      </w:r>
      <w:r w:rsidR="004E3C77" w:rsidRPr="00C00CDB">
        <w:t xml:space="preserve"> apod.) </w:t>
      </w:r>
      <w:r w:rsidR="00AD2CDA" w:rsidRPr="00C00CDB">
        <w:t xml:space="preserve"> </w:t>
      </w:r>
    </w:p>
    <w:p w14:paraId="53513E96" w14:textId="77777777" w:rsidR="00AD2CDA" w:rsidRPr="00C00CDB" w:rsidRDefault="00CB08D5" w:rsidP="00AD2CDA">
      <w:r w:rsidRPr="00C00CDB">
        <w:t xml:space="preserve">Odkaz na projekt: </w:t>
      </w:r>
      <w:hyperlink r:id="rId5" w:history="1">
        <w:r w:rsidRPr="00C00CDB">
          <w:rPr>
            <w:rStyle w:val="Hypertextovodkaz"/>
            <w:color w:val="auto"/>
          </w:rPr>
          <w:t>https://fajnova.cz/projekt/com-unity-lab-projekt/</w:t>
        </w:r>
      </w:hyperlink>
    </w:p>
    <w:p w14:paraId="6EDAE784" w14:textId="77777777" w:rsidR="00495335" w:rsidRPr="00C00CDB" w:rsidRDefault="00F25E4A" w:rsidP="00AD2CDA">
      <w:pPr>
        <w:rPr>
          <w:u w:val="single"/>
        </w:rPr>
      </w:pPr>
      <w:r w:rsidRPr="00C00CDB">
        <w:rPr>
          <w:u w:val="single"/>
        </w:rPr>
        <w:t>Shrnutí</w:t>
      </w:r>
      <w:r w:rsidR="004421C5" w:rsidRPr="00C00CDB">
        <w:rPr>
          <w:u w:val="single"/>
        </w:rPr>
        <w:t xml:space="preserve"> problémů občanů </w:t>
      </w:r>
      <w:r w:rsidRPr="00C00CDB">
        <w:rPr>
          <w:u w:val="single"/>
        </w:rPr>
        <w:t xml:space="preserve">sídliště Dubina </w:t>
      </w:r>
      <w:r w:rsidR="004421C5" w:rsidRPr="00C00CDB">
        <w:rPr>
          <w:u w:val="single"/>
        </w:rPr>
        <w:t>získaných z rozhovorů v rámci terénní práce</w:t>
      </w:r>
      <w:r w:rsidR="00495335" w:rsidRPr="00C00CDB">
        <w:rPr>
          <w:u w:val="single"/>
        </w:rPr>
        <w:t>:</w:t>
      </w:r>
    </w:p>
    <w:p w14:paraId="5EF0A9CA" w14:textId="77777777" w:rsidR="00495335" w:rsidRPr="00C00CDB" w:rsidRDefault="00495335" w:rsidP="00495335">
      <w:pPr>
        <w:pStyle w:val="Odstavecseseznamem"/>
        <w:numPr>
          <w:ilvl w:val="0"/>
          <w:numId w:val="16"/>
        </w:numPr>
      </w:pPr>
      <w:r w:rsidRPr="00C00CDB">
        <w:t>lokalita postrádá kvalitní veřejný prostor pro relaxaci či volnočasové vyžití všech generací</w:t>
      </w:r>
      <w:r w:rsidR="00814DEC" w:rsidRPr="00C00CDB">
        <w:t xml:space="preserve"> – občasné se nemají kde scházet a utvářet sousedské vztahy či žít komunitně</w:t>
      </w:r>
    </w:p>
    <w:p w14:paraId="51AE8785" w14:textId="77777777" w:rsidR="00495335" w:rsidRPr="00C00CDB" w:rsidRDefault="00495335" w:rsidP="00495335">
      <w:pPr>
        <w:pStyle w:val="Odstavecseseznamem"/>
        <w:numPr>
          <w:ilvl w:val="0"/>
          <w:numId w:val="16"/>
        </w:numPr>
      </w:pPr>
      <w:r w:rsidRPr="00C00CDB">
        <w:t>lokalita je velmi neatraktivní a obyvatelé s vyššími příjmy se stěhují do lukrativnějších oblastí</w:t>
      </w:r>
      <w:r w:rsidR="00814DEC" w:rsidRPr="00C00CDB">
        <w:t>, v oblasti zůstávají nízkopříjmové domácnosti a senioři</w:t>
      </w:r>
    </w:p>
    <w:p w14:paraId="2F91CAB1" w14:textId="77777777" w:rsidR="00495335" w:rsidRPr="00C00CDB" w:rsidRDefault="00495335" w:rsidP="00495335">
      <w:pPr>
        <w:pStyle w:val="Odstavecseseznamem"/>
        <w:numPr>
          <w:ilvl w:val="0"/>
          <w:numId w:val="16"/>
        </w:numPr>
      </w:pPr>
      <w:r w:rsidRPr="00C00CDB">
        <w:t>interakce s veřejnou správou je velmi nízká –</w:t>
      </w:r>
      <w:r w:rsidR="00F135F9" w:rsidRPr="00C00CDB">
        <w:t>&gt;</w:t>
      </w:r>
      <w:r w:rsidRPr="00C00CDB">
        <w:t xml:space="preserve"> </w:t>
      </w:r>
      <w:r w:rsidR="00814DEC" w:rsidRPr="00C00CDB">
        <w:t xml:space="preserve">potřeba </w:t>
      </w:r>
      <w:r w:rsidR="00FA144A" w:rsidRPr="00C00CDB">
        <w:t>s</w:t>
      </w:r>
      <w:r w:rsidR="00814DEC" w:rsidRPr="00C00CDB">
        <w:t>tyčného důstojníka, mapování potřeb, mediátor</w:t>
      </w:r>
      <w:r w:rsidR="00DD0267" w:rsidRPr="00C00CDB">
        <w:t>a</w:t>
      </w:r>
      <w:r w:rsidR="00814DEC" w:rsidRPr="00C00CDB">
        <w:t xml:space="preserve">, </w:t>
      </w:r>
      <w:r w:rsidR="00F135F9" w:rsidRPr="00C00CDB">
        <w:t>pravideln</w:t>
      </w:r>
      <w:r w:rsidR="00DD0267" w:rsidRPr="00C00CDB">
        <w:t>é</w:t>
      </w:r>
      <w:r w:rsidR="00F135F9" w:rsidRPr="00C00CDB">
        <w:t xml:space="preserve"> </w:t>
      </w:r>
      <w:r w:rsidR="00814DEC" w:rsidRPr="00C00CDB">
        <w:t>komunikace a interakce s občany</w:t>
      </w:r>
    </w:p>
    <w:p w14:paraId="0719A5D2" w14:textId="77777777" w:rsidR="00814DEC" w:rsidRPr="00C00CDB" w:rsidRDefault="00495335" w:rsidP="00814DEC">
      <w:pPr>
        <w:pStyle w:val="Odstavecseseznamem"/>
        <w:numPr>
          <w:ilvl w:val="0"/>
          <w:numId w:val="16"/>
        </w:numPr>
      </w:pPr>
      <w:r w:rsidRPr="00C00CDB">
        <w:t>pocit bezpečí je ve</w:t>
      </w:r>
      <w:r w:rsidR="00814DEC" w:rsidRPr="00C00CDB">
        <w:t>lmi nízký, na sídlišti je řada temných (špatně osvětlených) míst a zákoutí</w:t>
      </w:r>
      <w:r w:rsidR="00DD0267" w:rsidRPr="00C00CDB">
        <w:t>,</w:t>
      </w:r>
    </w:p>
    <w:p w14:paraId="7DFB21A2" w14:textId="77777777" w:rsidR="00814DEC" w:rsidRPr="00C00CDB" w:rsidRDefault="00814DEC" w:rsidP="00814DEC">
      <w:pPr>
        <w:pStyle w:val="Odstavecseseznamem"/>
      </w:pPr>
      <w:r w:rsidRPr="00C00CDB">
        <w:t xml:space="preserve">občané se po setmění obávají vycházet z domu, často i ze svého bytu </w:t>
      </w:r>
    </w:p>
    <w:p w14:paraId="26463478" w14:textId="77777777" w:rsidR="00814DEC" w:rsidRPr="00C00CDB" w:rsidRDefault="00814DEC" w:rsidP="00814DEC">
      <w:pPr>
        <w:pStyle w:val="Odstavecseseznamem"/>
        <w:numPr>
          <w:ilvl w:val="0"/>
          <w:numId w:val="16"/>
        </w:numPr>
      </w:pPr>
      <w:r w:rsidRPr="00C00CDB">
        <w:t>nedostatek kvalitní zeleně</w:t>
      </w:r>
    </w:p>
    <w:p w14:paraId="6E57B9BB" w14:textId="77777777" w:rsidR="00814DEC" w:rsidRPr="00C00CDB" w:rsidRDefault="00814DEC" w:rsidP="00814DEC">
      <w:pPr>
        <w:pStyle w:val="Odstavecseseznamem"/>
        <w:numPr>
          <w:ilvl w:val="0"/>
          <w:numId w:val="16"/>
        </w:numPr>
      </w:pPr>
      <w:r w:rsidRPr="00C00CDB">
        <w:t>neexistence neziskových organizací zaměřených na rozvoj měkkých aktivit a aktivizac</w:t>
      </w:r>
      <w:r w:rsidR="00F135F9" w:rsidRPr="00C00CDB">
        <w:t>i</w:t>
      </w:r>
      <w:r w:rsidRPr="00C00CDB">
        <w:t xml:space="preserve"> obyvatel</w:t>
      </w:r>
    </w:p>
    <w:p w14:paraId="367D287B" w14:textId="77777777" w:rsidR="00814DEC" w:rsidRPr="00C00CDB" w:rsidRDefault="00814DEC" w:rsidP="00814DEC">
      <w:pPr>
        <w:pStyle w:val="Odstavecseseznamem"/>
        <w:numPr>
          <w:ilvl w:val="0"/>
          <w:numId w:val="16"/>
        </w:numPr>
      </w:pPr>
      <w:r w:rsidRPr="00C00CDB">
        <w:t>neexistence komunitního centra (klubovny) pro volnočasové</w:t>
      </w:r>
      <w:r w:rsidR="004421C5" w:rsidRPr="00C00CDB">
        <w:t xml:space="preserve"> (</w:t>
      </w:r>
      <w:r w:rsidRPr="00C00CDB">
        <w:t>vnitřní</w:t>
      </w:r>
      <w:r w:rsidR="004421C5" w:rsidRPr="00C00CDB">
        <w:t>)</w:t>
      </w:r>
      <w:r w:rsidRPr="00C00CDB">
        <w:t xml:space="preserve"> aktivity obyvatel – kroužky pro seniory, místo pro scházení maminek na mateřských, aktivity pro děti všech věkových skupin</w:t>
      </w:r>
    </w:p>
    <w:p w14:paraId="078B054C" w14:textId="77777777" w:rsidR="00C00CDB" w:rsidRDefault="00B95441" w:rsidP="00C00CDB">
      <w:pPr>
        <w:pStyle w:val="Odstavecseseznamem"/>
        <w:numPr>
          <w:ilvl w:val="0"/>
          <w:numId w:val="16"/>
        </w:numPr>
      </w:pPr>
      <w:r w:rsidRPr="00C00CDB">
        <w:t xml:space="preserve">chybí </w:t>
      </w:r>
      <w:r w:rsidR="004421C5" w:rsidRPr="00C00CDB">
        <w:t>hřiště</w:t>
      </w:r>
    </w:p>
    <w:p w14:paraId="5311E322" w14:textId="77777777" w:rsidR="00C00CDB" w:rsidRDefault="004421C5" w:rsidP="00C00CDB">
      <w:pPr>
        <w:pStyle w:val="Odstavecseseznamem"/>
        <w:numPr>
          <w:ilvl w:val="0"/>
          <w:numId w:val="16"/>
        </w:numPr>
      </w:pPr>
      <w:r w:rsidRPr="00C00CDB">
        <w:t>příliš mnoho hospod</w:t>
      </w:r>
    </w:p>
    <w:p w14:paraId="1123B670" w14:textId="2053EF50" w:rsidR="00C00CDB" w:rsidRDefault="004A0016" w:rsidP="00C00CDB">
      <w:pPr>
        <w:rPr>
          <w:noProof/>
        </w:rPr>
      </w:pPr>
      <w:r>
        <w:rPr>
          <w:noProof/>
        </w:rPr>
        <w:pict w14:anchorId="04EA01C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169908A" w14:textId="0D2EF201" w:rsidR="00272D57" w:rsidRPr="00C00CDB" w:rsidRDefault="00272D57" w:rsidP="004A0016">
      <w:pPr>
        <w:jc w:val="both"/>
      </w:pPr>
      <w:r w:rsidRPr="00C00CDB">
        <w:rPr>
          <w:rFonts w:cstheme="minorHAnsi"/>
          <w:b/>
          <w:bCs/>
        </w:rPr>
        <w:t>Důvodem rozhodnutí o prodloužení realizace</w:t>
      </w:r>
      <w:r w:rsidRPr="00C00CDB">
        <w:rPr>
          <w:rFonts w:cstheme="minorHAnsi"/>
        </w:rPr>
        <w:t xml:space="preserve"> projektu je přetrvávající </w:t>
      </w:r>
      <w:r w:rsidRPr="00C00CDB">
        <w:rPr>
          <w:rFonts w:cstheme="minorHAnsi"/>
          <w:b/>
          <w:bCs/>
        </w:rPr>
        <w:t>pandemie COVID-19</w:t>
      </w:r>
      <w:r w:rsidRPr="00C00CDB">
        <w:rPr>
          <w:rFonts w:cstheme="minorHAnsi"/>
        </w:rPr>
        <w:t xml:space="preserve">, která významně narušuje realizaci lokálních i mezinárodních aktivit. Projektová partnerství (tzv. Sítě přenosu) byly nuceny zrušit nebo odložit nadnárodní aktivity, které byly zásadní pro proces přenosu, a rovněž </w:t>
      </w:r>
      <w:r w:rsidRPr="00C00CDB">
        <w:rPr>
          <w:rFonts w:cstheme="minorHAnsi"/>
        </w:rPr>
        <w:lastRenderedPageBreak/>
        <w:t>přehodnotit způsob jejich práce na lokání úrovni. Metodika přenosu, dle níž postupují všechny Sítě přenosu, byla značně narušena zavedenými opatřeními k omezení šíření viru.</w:t>
      </w:r>
    </w:p>
    <w:p w14:paraId="59DAD739" w14:textId="77777777" w:rsidR="009E5A35" w:rsidRPr="00C00CDB" w:rsidRDefault="009E5A35" w:rsidP="00093C1B">
      <w:pPr>
        <w:spacing w:before="120" w:after="240" w:line="240" w:lineRule="auto"/>
        <w:jc w:val="both"/>
        <w:rPr>
          <w:u w:val="single"/>
        </w:rPr>
      </w:pPr>
      <w:r w:rsidRPr="00C00CDB">
        <w:rPr>
          <w:u w:val="single"/>
        </w:rPr>
        <w:t>Změna se týká následujícího:</w:t>
      </w:r>
    </w:p>
    <w:p w14:paraId="3B7F7E6C" w14:textId="77777777" w:rsidR="009E5A35" w:rsidRPr="00C00CDB" w:rsidRDefault="009E5A35" w:rsidP="009E5A35">
      <w:pPr>
        <w:pStyle w:val="Odstavecseseznamem"/>
        <w:numPr>
          <w:ilvl w:val="0"/>
          <w:numId w:val="14"/>
        </w:numPr>
        <w:spacing w:before="120" w:after="240" w:line="240" w:lineRule="auto"/>
        <w:jc w:val="both"/>
      </w:pPr>
      <w:r w:rsidRPr="00C00CDB">
        <w:t>termínu ukončení</w:t>
      </w:r>
    </w:p>
    <w:p w14:paraId="2521D179" w14:textId="77777777" w:rsidR="009E5A35" w:rsidRPr="00C00CDB" w:rsidRDefault="009E5A35" w:rsidP="009E5A35">
      <w:pPr>
        <w:pStyle w:val="Odstavecseseznamem"/>
        <w:numPr>
          <w:ilvl w:val="0"/>
          <w:numId w:val="14"/>
        </w:numPr>
        <w:spacing w:before="120" w:after="240" w:line="240" w:lineRule="auto"/>
        <w:jc w:val="both"/>
      </w:pPr>
      <w:r w:rsidRPr="00C00CDB">
        <w:t>termín</w:t>
      </w:r>
      <w:r w:rsidR="00B254D8" w:rsidRPr="00C00CDB">
        <w:t xml:space="preserve">u </w:t>
      </w:r>
      <w:r w:rsidRPr="00C00CDB">
        <w:t xml:space="preserve">předložení </w:t>
      </w:r>
      <w:r w:rsidR="00BE1534" w:rsidRPr="00C00CDB">
        <w:t xml:space="preserve">závěrečné </w:t>
      </w:r>
      <w:r w:rsidRPr="00C00CDB">
        <w:t>zprávy</w:t>
      </w:r>
      <w:r w:rsidR="00BE1534" w:rsidRPr="00C00CDB">
        <w:t xml:space="preserve"> o pokroku</w:t>
      </w:r>
    </w:p>
    <w:p w14:paraId="1D6DD970" w14:textId="77777777" w:rsidR="009E5A35" w:rsidRPr="00C00CDB" w:rsidRDefault="009E5A35" w:rsidP="009E5A35">
      <w:pPr>
        <w:pStyle w:val="Odstavecseseznamem"/>
        <w:numPr>
          <w:ilvl w:val="0"/>
          <w:numId w:val="14"/>
        </w:numPr>
        <w:spacing w:before="120" w:after="240" w:line="240" w:lineRule="auto"/>
        <w:jc w:val="both"/>
      </w:pPr>
      <w:r w:rsidRPr="00C00CDB">
        <w:t>přesunu finanční alokace v</w:t>
      </w:r>
      <w:r w:rsidR="00B254D8" w:rsidRPr="00C00CDB">
        <w:t xml:space="preserve"> rámci </w:t>
      </w:r>
      <w:r w:rsidRPr="00C00CDB">
        <w:t>projektové</w:t>
      </w:r>
      <w:r w:rsidR="00B254D8" w:rsidRPr="00C00CDB">
        <w:t>ho</w:t>
      </w:r>
      <w:r w:rsidRPr="00C00CDB">
        <w:t xml:space="preserve"> rozpočtu</w:t>
      </w:r>
      <w:r w:rsidR="00B254D8" w:rsidRPr="00C00CDB">
        <w:t xml:space="preserve"> jednolitých partnerů</w:t>
      </w:r>
    </w:p>
    <w:p w14:paraId="1A3B664C" w14:textId="77777777" w:rsidR="009E5A35" w:rsidRPr="00C00CDB" w:rsidRDefault="009E5A35" w:rsidP="00033873">
      <w:pPr>
        <w:spacing w:before="120" w:after="240" w:line="240" w:lineRule="auto"/>
        <w:rPr>
          <w:i/>
          <w:iCs/>
        </w:rPr>
      </w:pPr>
      <w:r w:rsidRPr="00C00CDB">
        <w:t>Ad 1)</w:t>
      </w:r>
      <w:r w:rsidR="00BE1534" w:rsidRPr="00C00CDB">
        <w:br/>
      </w:r>
      <w:r w:rsidR="00EF4FA5" w:rsidRPr="00C00CDB">
        <w:t>Dle</w:t>
      </w:r>
      <w:r w:rsidR="0012646B" w:rsidRPr="00C00CDB">
        <w:t xml:space="preserve"> rozhodnutí řídícího orgánu pro nadnárodní dotační program URBACT</w:t>
      </w:r>
      <w:r w:rsidR="00EF4FA5" w:rsidRPr="00C00CDB">
        <w:t xml:space="preserve"> </w:t>
      </w:r>
      <w:r w:rsidR="00FC1F4A" w:rsidRPr="00C00CDB">
        <w:t xml:space="preserve">ze dne 14. května 2020 </w:t>
      </w:r>
      <w:r w:rsidR="00EF4FA5" w:rsidRPr="00C00CDB">
        <w:t>se</w:t>
      </w:r>
      <w:r w:rsidR="005734C2" w:rsidRPr="00C00CDB">
        <w:rPr>
          <w:rFonts w:cstheme="minorHAnsi"/>
          <w:b/>
          <w:bCs/>
        </w:rPr>
        <w:t xml:space="preserve"> </w:t>
      </w:r>
      <w:r w:rsidR="00FC1F4A" w:rsidRPr="00C00CDB">
        <w:rPr>
          <w:rFonts w:cstheme="minorHAnsi"/>
          <w:b/>
          <w:bCs/>
          <w:u w:val="single"/>
        </w:rPr>
        <w:t>realizace</w:t>
      </w:r>
      <w:r w:rsidR="005734C2" w:rsidRPr="00C00CDB">
        <w:rPr>
          <w:rFonts w:cstheme="minorHAnsi"/>
          <w:b/>
          <w:bCs/>
          <w:u w:val="single"/>
        </w:rPr>
        <w:t xml:space="preserve"> projektu </w:t>
      </w:r>
      <w:r w:rsidR="00FC1F4A" w:rsidRPr="00C00CDB">
        <w:rPr>
          <w:rFonts w:cstheme="minorHAnsi"/>
          <w:b/>
          <w:bCs/>
          <w:u w:val="single"/>
        </w:rPr>
        <w:t>prodlužuje</w:t>
      </w:r>
      <w:r w:rsidR="005734C2" w:rsidRPr="00C00CDB">
        <w:rPr>
          <w:rFonts w:cstheme="minorHAnsi"/>
          <w:b/>
          <w:bCs/>
          <w:u w:val="single"/>
        </w:rPr>
        <w:t xml:space="preserve"> o 6 měsíců</w:t>
      </w:r>
      <w:r w:rsidR="00FC1F4A" w:rsidRPr="00C00CDB">
        <w:rPr>
          <w:rFonts w:cstheme="minorHAnsi"/>
        </w:rPr>
        <w:t xml:space="preserve"> a termín ukončení je </w:t>
      </w:r>
      <w:r w:rsidR="00033873" w:rsidRPr="00C00CDB">
        <w:rPr>
          <w:rFonts w:cstheme="minorHAnsi"/>
        </w:rPr>
        <w:t xml:space="preserve">nově </w:t>
      </w:r>
      <w:r w:rsidR="00FC1F4A" w:rsidRPr="00C00CDB">
        <w:rPr>
          <w:rFonts w:cstheme="minorHAnsi"/>
        </w:rPr>
        <w:t xml:space="preserve">stanoven na </w:t>
      </w:r>
      <w:r w:rsidR="005734C2" w:rsidRPr="00C00CDB">
        <w:rPr>
          <w:rFonts w:cstheme="minorHAnsi"/>
          <w:b/>
          <w:bCs/>
          <w:u w:val="single"/>
        </w:rPr>
        <w:t>4. června 2021</w:t>
      </w:r>
      <w:r w:rsidRPr="00C00CDB">
        <w:rPr>
          <w:rFonts w:cstheme="minorHAnsi"/>
        </w:rPr>
        <w:t xml:space="preserve"> – viz příloha č. 1 předloženého materiálu</w:t>
      </w:r>
      <w:r w:rsidR="00F144E2" w:rsidRPr="00C00CDB">
        <w:rPr>
          <w:rFonts w:cstheme="minorHAnsi"/>
        </w:rPr>
        <w:t>.</w:t>
      </w:r>
      <w:r w:rsidR="00F144E2" w:rsidRPr="00C00CDB">
        <w:br/>
      </w:r>
      <w:r w:rsidRPr="00C00CDB">
        <w:rPr>
          <w:rFonts w:cstheme="minorHAnsi"/>
          <w:i/>
          <w:iCs/>
          <w:sz w:val="20"/>
          <w:szCs w:val="20"/>
        </w:rPr>
        <w:t>Původní termín ukončení byl ve Společné úmluvě, která byla uzavřena mezi partnerskými městy dne 19. února 2019 a její český překlad tvoří přílohu č. 5 tohoto materiálu, stanoven na 4. prosince 2020.</w:t>
      </w:r>
      <w:r w:rsidR="00033873" w:rsidRPr="00C00CDB">
        <w:rPr>
          <w:rFonts w:cstheme="minorHAnsi"/>
          <w:i/>
          <w:iCs/>
          <w:sz w:val="20"/>
          <w:szCs w:val="20"/>
        </w:rPr>
        <w:t xml:space="preserve"> </w:t>
      </w:r>
      <w:r w:rsidR="00033873" w:rsidRPr="00C00CDB">
        <w:rPr>
          <w:i/>
          <w:iCs/>
        </w:rPr>
        <w:t>Společná úmluva je mezinárodní smlouva, podléhající mezinárodnímu právu, stejně tak její Dodatek.</w:t>
      </w:r>
    </w:p>
    <w:p w14:paraId="73D02575" w14:textId="77777777" w:rsidR="00F144E2" w:rsidRPr="00C00CDB" w:rsidRDefault="009E5A35" w:rsidP="00F144E2">
      <w:pPr>
        <w:spacing w:before="120" w:after="240" w:line="240" w:lineRule="auto"/>
        <w:rPr>
          <w:rFonts w:cstheme="minorHAnsi"/>
          <w:i/>
          <w:iCs/>
          <w:sz w:val="20"/>
          <w:szCs w:val="20"/>
        </w:rPr>
      </w:pPr>
      <w:r w:rsidRPr="00C00CDB">
        <w:rPr>
          <w:rFonts w:cstheme="minorHAnsi"/>
        </w:rPr>
        <w:t>Ad 2)</w:t>
      </w:r>
      <w:r w:rsidR="00BE1534" w:rsidRPr="00C00CDB">
        <w:rPr>
          <w:rFonts w:cstheme="minorHAnsi"/>
        </w:rPr>
        <w:br/>
        <w:t>První zpráva o pokroku byla předložena poskytovateli dotace k 28. únoru 2020</w:t>
      </w:r>
      <w:r w:rsidR="00F144E2" w:rsidRPr="00C00CDB">
        <w:rPr>
          <w:rFonts w:cstheme="minorHAnsi"/>
        </w:rPr>
        <w:t xml:space="preserve"> za 1. vykazované období, tj. od 4. prosince 2018 do 30. listopadu 2019. </w:t>
      </w:r>
      <w:r w:rsidR="00272D57" w:rsidRPr="00C00CDB">
        <w:rPr>
          <w:rFonts w:cstheme="minorHAnsi"/>
        </w:rPr>
        <w:br/>
      </w:r>
      <w:r w:rsidR="00F144E2" w:rsidRPr="00C00CDB">
        <w:rPr>
          <w:rFonts w:cstheme="minorHAnsi"/>
        </w:rPr>
        <w:t xml:space="preserve">Druhá a rovněž </w:t>
      </w:r>
      <w:r w:rsidR="00F144E2" w:rsidRPr="00C00CDB">
        <w:rPr>
          <w:rFonts w:cstheme="minorHAnsi"/>
          <w:b/>
          <w:bCs/>
        </w:rPr>
        <w:t>závěrečná zpráva</w:t>
      </w:r>
      <w:r w:rsidR="00272D57" w:rsidRPr="00C00CDB">
        <w:rPr>
          <w:rFonts w:cstheme="minorHAnsi"/>
          <w:b/>
          <w:bCs/>
        </w:rPr>
        <w:t xml:space="preserve"> o pokroku</w:t>
      </w:r>
      <w:r w:rsidR="00F144E2" w:rsidRPr="00C00CDB">
        <w:rPr>
          <w:rFonts w:cstheme="minorHAnsi"/>
        </w:rPr>
        <w:t xml:space="preserve"> bude</w:t>
      </w:r>
      <w:r w:rsidR="00B254D8" w:rsidRPr="00C00CDB">
        <w:rPr>
          <w:rFonts w:cstheme="minorHAnsi"/>
        </w:rPr>
        <w:t xml:space="preserve"> nově</w:t>
      </w:r>
      <w:r w:rsidR="00F144E2" w:rsidRPr="00C00CDB">
        <w:rPr>
          <w:rFonts w:cstheme="minorHAnsi"/>
        </w:rPr>
        <w:t xml:space="preserve"> předložena za období </w:t>
      </w:r>
      <w:r w:rsidR="00B254D8" w:rsidRPr="00C00CDB">
        <w:rPr>
          <w:rFonts w:cstheme="minorHAnsi"/>
        </w:rPr>
        <w:t xml:space="preserve">od </w:t>
      </w:r>
      <w:r w:rsidR="00F144E2" w:rsidRPr="00C00CDB">
        <w:rPr>
          <w:rFonts w:cstheme="minorHAnsi"/>
          <w:b/>
          <w:bCs/>
        </w:rPr>
        <w:t xml:space="preserve">1. prosince 2019 </w:t>
      </w:r>
      <w:r w:rsidR="00B254D8" w:rsidRPr="00C00CDB">
        <w:rPr>
          <w:rFonts w:cstheme="minorHAnsi"/>
          <w:b/>
          <w:bCs/>
        </w:rPr>
        <w:t>do</w:t>
      </w:r>
      <w:r w:rsidR="00F144E2" w:rsidRPr="00C00CDB">
        <w:rPr>
          <w:rFonts w:cstheme="minorHAnsi"/>
          <w:b/>
          <w:bCs/>
        </w:rPr>
        <w:t xml:space="preserve"> 4. června 2021,</w:t>
      </w:r>
      <w:r w:rsidR="00272D57" w:rsidRPr="00C00CDB">
        <w:rPr>
          <w:rFonts w:cstheme="minorHAnsi"/>
          <w:b/>
          <w:bCs/>
        </w:rPr>
        <w:t xml:space="preserve"> a to</w:t>
      </w:r>
      <w:r w:rsidR="00F144E2" w:rsidRPr="00C00CDB">
        <w:rPr>
          <w:rFonts w:cstheme="minorHAnsi"/>
          <w:b/>
          <w:bCs/>
        </w:rPr>
        <w:t xml:space="preserve"> k 30. září 2021. </w:t>
      </w:r>
      <w:r w:rsidR="00F144E2" w:rsidRPr="00C00CDB">
        <w:rPr>
          <w:rFonts w:cstheme="minorHAnsi"/>
        </w:rPr>
        <w:br/>
      </w:r>
      <w:r w:rsidR="00F144E2" w:rsidRPr="00C00CDB">
        <w:rPr>
          <w:rFonts w:cstheme="minorHAnsi"/>
          <w:i/>
          <w:iCs/>
          <w:sz w:val="20"/>
          <w:szCs w:val="20"/>
        </w:rPr>
        <w:t xml:space="preserve">Původní termín předložení závěrečné zprávy byl ve Společné úmluvě stanoven na 4. března 2021 za období od 1. prosince 2019 do 4. prosince 2020. Každopádně, tato možnost zrušena nebyla, zůstává k dispozici jako volitelný termín pro partnery, kteří v tomto vykazovaném období vynaložili značné prostředky a preferují vyplacení dotace v dřívějším termínu. </w:t>
      </w:r>
    </w:p>
    <w:p w14:paraId="1339EE05" w14:textId="77777777" w:rsidR="00B254D8" w:rsidRPr="00C00CDB" w:rsidRDefault="00272D57" w:rsidP="000F566B">
      <w:pPr>
        <w:spacing w:before="120" w:after="240" w:line="240" w:lineRule="auto"/>
        <w:rPr>
          <w:rFonts w:cstheme="minorHAnsi"/>
        </w:rPr>
      </w:pPr>
      <w:bookmarkStart w:id="0" w:name="_Hlk60995443"/>
      <w:r w:rsidRPr="00C00CDB">
        <w:rPr>
          <w:rFonts w:cstheme="minorHAnsi"/>
        </w:rPr>
        <w:t>Ad</w:t>
      </w:r>
      <w:r w:rsidR="000F566B" w:rsidRPr="00C00CDB">
        <w:rPr>
          <w:rFonts w:cstheme="minorHAnsi"/>
        </w:rPr>
        <w:t xml:space="preserve"> 3)</w:t>
      </w:r>
      <w:r w:rsidR="00B254D8" w:rsidRPr="00C00CDB">
        <w:rPr>
          <w:rFonts w:cstheme="minorHAnsi"/>
        </w:rPr>
        <w:br/>
      </w:r>
      <w:r w:rsidRPr="00C00CDB">
        <w:rPr>
          <w:rFonts w:cstheme="minorHAnsi"/>
          <w:b/>
          <w:bCs/>
        </w:rPr>
        <w:t>Celkov</w:t>
      </w:r>
      <w:r w:rsidR="00B254D8" w:rsidRPr="00C00CDB">
        <w:rPr>
          <w:rFonts w:cstheme="minorHAnsi"/>
          <w:b/>
          <w:bCs/>
        </w:rPr>
        <w:t>á výše schválené dotace zůstává beze změn</w:t>
      </w:r>
      <w:r w:rsidR="00B254D8" w:rsidRPr="00C00CDB">
        <w:rPr>
          <w:rFonts w:cstheme="minorHAnsi"/>
        </w:rPr>
        <w:t xml:space="preserve">, tj. </w:t>
      </w:r>
      <w:r w:rsidR="00B254D8" w:rsidRPr="00C00CDB">
        <w:rPr>
          <w:rFonts w:cstheme="minorHAnsi"/>
          <w:b/>
          <w:bCs/>
        </w:rPr>
        <w:t>€ 52 000</w:t>
      </w:r>
      <w:r w:rsidR="00B254D8" w:rsidRPr="00C00CDB">
        <w:rPr>
          <w:rFonts w:cstheme="minorHAnsi"/>
        </w:rPr>
        <w:t xml:space="preserve"> (z toho € 44 200 dotace z EU a € 7 800 spolufinancování města)</w:t>
      </w:r>
      <w:r w:rsidRPr="00C00CDB">
        <w:rPr>
          <w:rFonts w:cstheme="minorHAnsi"/>
        </w:rPr>
        <w:t xml:space="preserve">. </w:t>
      </w:r>
    </w:p>
    <w:p w14:paraId="306CFAAD" w14:textId="6B4F3FAC" w:rsidR="00554CD7" w:rsidRPr="00C00CDB" w:rsidRDefault="00554CD7" w:rsidP="00554CD7">
      <w:pPr>
        <w:spacing w:before="120" w:after="120" w:line="240" w:lineRule="auto"/>
        <w:jc w:val="both"/>
        <w:rPr>
          <w:rFonts w:cstheme="minorHAnsi"/>
        </w:rPr>
      </w:pPr>
      <w:bookmarkStart w:id="1" w:name="_GoBack"/>
      <w:r w:rsidRPr="00C00CDB">
        <w:rPr>
          <w:rFonts w:cstheme="minorHAnsi"/>
        </w:rPr>
        <w:t>Na základě výzvy poskytovatele dotace a vzájemné dohody v rámci projektové sítě</w:t>
      </w:r>
      <w:r w:rsidRPr="00C00CDB">
        <w:rPr>
          <w:rFonts w:cstheme="minorHAnsi"/>
          <w:b/>
          <w:bCs/>
        </w:rPr>
        <w:t xml:space="preserve"> dochází k přesunu finanční alokace mezi rozpočtovými kategoriemi</w:t>
      </w:r>
      <w:r w:rsidRPr="00C00CDB">
        <w:rPr>
          <w:rFonts w:cstheme="minorHAnsi"/>
        </w:rPr>
        <w:t xml:space="preserve"> rozpočtu jednotlivých partnerů. Vzhledem k tomu, že v důsledku pandemie COVID-19 nebylo možno vyčerpat původní výši alokace v rozpočtové kategorii „Doprava a ubytování“, její část byla přesunuta do kategorie „Externí služby“, která nabízí širší potenciál čerpání </w:t>
      </w:r>
      <w:r w:rsidRPr="00C00CDB">
        <w:rPr>
          <w:rFonts w:cstheme="minorHAnsi"/>
          <w:i/>
          <w:iCs/>
          <w:sz w:val="20"/>
          <w:szCs w:val="20"/>
        </w:rPr>
        <w:t>(například: jednání se stakeholdery a občany, konzultace, pronájem, občerstvení,</w:t>
      </w:r>
      <w:r w:rsidR="00E01C0B" w:rsidRPr="00C00CDB">
        <w:rPr>
          <w:rFonts w:cstheme="minorHAnsi"/>
          <w:i/>
          <w:iCs/>
          <w:sz w:val="20"/>
          <w:szCs w:val="20"/>
        </w:rPr>
        <w:t xml:space="preserve"> </w:t>
      </w:r>
      <w:r w:rsidRPr="00C00CDB">
        <w:rPr>
          <w:rFonts w:cstheme="minorHAnsi"/>
          <w:i/>
          <w:iCs/>
          <w:sz w:val="20"/>
          <w:szCs w:val="20"/>
        </w:rPr>
        <w:t>propagace projektu, analýzy, koncepce apod.)</w:t>
      </w:r>
      <w:r w:rsidR="00531CE2" w:rsidRPr="00C00CDB">
        <w:rPr>
          <w:rFonts w:cstheme="minorHAnsi"/>
          <w:sz w:val="20"/>
          <w:szCs w:val="20"/>
        </w:rPr>
        <w:t>.</w:t>
      </w:r>
      <w:r w:rsidR="00F97AD8" w:rsidRPr="00C00CDB">
        <w:rPr>
          <w:rFonts w:cstheme="minorHAnsi"/>
          <w:sz w:val="20"/>
          <w:szCs w:val="20"/>
        </w:rPr>
        <w:t xml:space="preserve"> </w:t>
      </w:r>
      <w:r w:rsidRPr="00C00CDB">
        <w:rPr>
          <w:rFonts w:cstheme="minorHAnsi"/>
        </w:rPr>
        <w:t>Níže jsou uvedeny rozpočty před a po změně. Původní rozpočet tak</w:t>
      </w:r>
      <w:r w:rsidR="00F97AD8" w:rsidRPr="00C00CDB">
        <w:rPr>
          <w:rFonts w:cstheme="minorHAnsi"/>
        </w:rPr>
        <w:t>,</w:t>
      </w:r>
      <w:r w:rsidRPr="00C00CDB">
        <w:rPr>
          <w:rFonts w:cstheme="minorHAnsi"/>
        </w:rPr>
        <w:t xml:space="preserve"> jak byl schválen v projektové žádosti a uveden ve Společné úmluvě, nový rozpočet s přesunem finančních prostředků mezi rozpočtovými </w:t>
      </w:r>
      <w:bookmarkEnd w:id="1"/>
      <w:r w:rsidRPr="00C00CDB">
        <w:rPr>
          <w:rFonts w:cstheme="minorHAnsi"/>
        </w:rPr>
        <w:t>kapitolami, jak je uvedeno v Dodatku, který je předmětem bodu 1) tohoto usnesení.</w:t>
      </w:r>
    </w:p>
    <w:p w14:paraId="5FD995EA" w14:textId="77777777" w:rsidR="00554CD7" w:rsidRPr="00C00CDB" w:rsidRDefault="00554CD7" w:rsidP="00554CD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00CDB">
        <w:rPr>
          <w:rFonts w:cstheme="minorHAnsi"/>
          <w:i/>
          <w:iCs/>
          <w:sz w:val="20"/>
          <w:szCs w:val="20"/>
        </w:rPr>
        <w:t xml:space="preserve">Původní celkový rozpočet – </w:t>
      </w:r>
      <w:r w:rsidRPr="00C00CDB">
        <w:rPr>
          <w:rFonts w:cstheme="minorHAnsi"/>
          <w:i/>
          <w:iCs/>
        </w:rPr>
        <w:t>součást Společné úmluvy (viz příloha č.3 a 4 tohoto materiálu)</w:t>
      </w:r>
    </w:p>
    <w:tbl>
      <w:tblPr>
        <w:tblStyle w:val="Mkatabulky"/>
        <w:tblpPr w:leftFromText="141" w:rightFromText="141" w:vertAnchor="text" w:horzAnchor="margin" w:tblpY="30"/>
        <w:tblW w:w="5000" w:type="pct"/>
        <w:tblLook w:val="04A0" w:firstRow="1" w:lastRow="0" w:firstColumn="1" w:lastColumn="0" w:noHBand="0" w:noVBand="1"/>
      </w:tblPr>
      <w:tblGrid>
        <w:gridCol w:w="2435"/>
        <w:gridCol w:w="1102"/>
        <w:gridCol w:w="1104"/>
        <w:gridCol w:w="1102"/>
        <w:gridCol w:w="1110"/>
        <w:gridCol w:w="1099"/>
        <w:gridCol w:w="1110"/>
      </w:tblGrid>
      <w:tr w:rsidR="00C00CDB" w:rsidRPr="00C00CDB" w14:paraId="288A111C" w14:textId="77777777" w:rsidTr="00C00CDB">
        <w:trPr>
          <w:trHeight w:hRule="exact" w:val="369"/>
        </w:trPr>
        <w:tc>
          <w:tcPr>
            <w:tcW w:w="9062" w:type="dxa"/>
            <w:gridSpan w:val="7"/>
          </w:tcPr>
          <w:p w14:paraId="39590E65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Maximální celkové výdaje</w:t>
            </w:r>
          </w:p>
        </w:tc>
      </w:tr>
      <w:tr w:rsidR="00C00CDB" w:rsidRPr="00C00CDB" w14:paraId="42D1D506" w14:textId="77777777" w:rsidTr="00C00CDB">
        <w:trPr>
          <w:trHeight w:hRule="exact" w:val="369"/>
        </w:trPr>
        <w:tc>
          <w:tcPr>
            <w:tcW w:w="2435" w:type="dxa"/>
          </w:tcPr>
          <w:p w14:paraId="53BF1F89" w14:textId="77777777" w:rsidR="00554CD7" w:rsidRPr="00C00CDB" w:rsidRDefault="00554CD7" w:rsidP="00554CD7">
            <w:pPr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Rozpočtové kategorie</w:t>
            </w:r>
          </w:p>
        </w:tc>
        <w:tc>
          <w:tcPr>
            <w:tcW w:w="1102" w:type="dxa"/>
          </w:tcPr>
          <w:p w14:paraId="6629A5BB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1104" w:type="dxa"/>
          </w:tcPr>
          <w:p w14:paraId="66C7E467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1102" w:type="dxa"/>
          </w:tcPr>
          <w:p w14:paraId="1D922BB8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110" w:type="dxa"/>
          </w:tcPr>
          <w:p w14:paraId="0BA405B1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2209" w:type="dxa"/>
            <w:gridSpan w:val="2"/>
          </w:tcPr>
          <w:p w14:paraId="2E7B1498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</w:tr>
      <w:tr w:rsidR="00C00CDB" w:rsidRPr="00C00CDB" w14:paraId="22DF6220" w14:textId="77777777" w:rsidTr="00C00CDB">
        <w:trPr>
          <w:trHeight w:hRule="exact" w:val="369"/>
        </w:trPr>
        <w:tc>
          <w:tcPr>
            <w:tcW w:w="2435" w:type="dxa"/>
          </w:tcPr>
          <w:p w14:paraId="06E61DCD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511F40D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1. fáze</w:t>
            </w:r>
          </w:p>
        </w:tc>
        <w:tc>
          <w:tcPr>
            <w:tcW w:w="1104" w:type="dxa"/>
          </w:tcPr>
          <w:p w14:paraId="5CCC6180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2. fáze</w:t>
            </w:r>
          </w:p>
        </w:tc>
        <w:tc>
          <w:tcPr>
            <w:tcW w:w="1102" w:type="dxa"/>
          </w:tcPr>
          <w:p w14:paraId="27C54FFB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2. fáze</w:t>
            </w:r>
          </w:p>
        </w:tc>
        <w:tc>
          <w:tcPr>
            <w:tcW w:w="1110" w:type="dxa"/>
          </w:tcPr>
          <w:p w14:paraId="579A19E9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2. fáze</w:t>
            </w:r>
          </w:p>
        </w:tc>
        <w:tc>
          <w:tcPr>
            <w:tcW w:w="1099" w:type="dxa"/>
          </w:tcPr>
          <w:p w14:paraId="4DE0F5A8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1. fáze</w:t>
            </w:r>
          </w:p>
        </w:tc>
        <w:tc>
          <w:tcPr>
            <w:tcW w:w="1110" w:type="dxa"/>
          </w:tcPr>
          <w:p w14:paraId="4A3D0B18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DB">
              <w:rPr>
                <w:rFonts w:cstheme="minorHAnsi"/>
                <w:b/>
                <w:sz w:val="20"/>
                <w:szCs w:val="20"/>
              </w:rPr>
              <w:t>2. fáze</w:t>
            </w:r>
          </w:p>
        </w:tc>
      </w:tr>
      <w:tr w:rsidR="00C00CDB" w:rsidRPr="00C00CDB" w14:paraId="645F0747" w14:textId="77777777" w:rsidTr="00C00CDB">
        <w:trPr>
          <w:trHeight w:hRule="exact" w:val="369"/>
        </w:trPr>
        <w:tc>
          <w:tcPr>
            <w:tcW w:w="2435" w:type="dxa"/>
            <w:vAlign w:val="center"/>
          </w:tcPr>
          <w:p w14:paraId="6EC42742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Personální náklady</w:t>
            </w:r>
          </w:p>
        </w:tc>
        <w:tc>
          <w:tcPr>
            <w:tcW w:w="1102" w:type="dxa"/>
            <w:vAlign w:val="center"/>
          </w:tcPr>
          <w:p w14:paraId="762313AC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3AB6A1B3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758</w:t>
            </w:r>
          </w:p>
        </w:tc>
        <w:tc>
          <w:tcPr>
            <w:tcW w:w="1102" w:type="dxa"/>
            <w:vAlign w:val="center"/>
          </w:tcPr>
          <w:p w14:paraId="0B661F61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9 100</w:t>
            </w:r>
          </w:p>
        </w:tc>
        <w:tc>
          <w:tcPr>
            <w:tcW w:w="1110" w:type="dxa"/>
            <w:vAlign w:val="center"/>
          </w:tcPr>
          <w:p w14:paraId="67CE8D6C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8 342</w:t>
            </w:r>
          </w:p>
        </w:tc>
        <w:tc>
          <w:tcPr>
            <w:tcW w:w="1099" w:type="dxa"/>
            <w:vAlign w:val="center"/>
          </w:tcPr>
          <w:p w14:paraId="7A14697C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C1FA08C" w14:textId="77777777" w:rsidR="00554CD7" w:rsidRPr="00C00CDB" w:rsidRDefault="00554CD7" w:rsidP="00554CD7">
            <w:pPr>
              <w:pStyle w:val="Standard"/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18 200</w:t>
            </w:r>
          </w:p>
        </w:tc>
      </w:tr>
      <w:tr w:rsidR="00C00CDB" w:rsidRPr="00C00CDB" w14:paraId="3ECC458B" w14:textId="77777777" w:rsidTr="00C00CDB">
        <w:trPr>
          <w:trHeight w:hRule="exact" w:val="369"/>
        </w:trPr>
        <w:tc>
          <w:tcPr>
            <w:tcW w:w="2435" w:type="dxa"/>
            <w:vAlign w:val="center"/>
          </w:tcPr>
          <w:p w14:paraId="2CA728B4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Administrativa</w:t>
            </w:r>
          </w:p>
        </w:tc>
        <w:tc>
          <w:tcPr>
            <w:tcW w:w="1102" w:type="dxa"/>
            <w:vAlign w:val="center"/>
          </w:tcPr>
          <w:p w14:paraId="23D1492D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2EF0F746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22,74</w:t>
            </w:r>
          </w:p>
        </w:tc>
        <w:tc>
          <w:tcPr>
            <w:tcW w:w="1102" w:type="dxa"/>
            <w:vAlign w:val="center"/>
          </w:tcPr>
          <w:p w14:paraId="6D4B0D8C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273</w:t>
            </w:r>
          </w:p>
        </w:tc>
        <w:tc>
          <w:tcPr>
            <w:tcW w:w="1110" w:type="dxa"/>
            <w:vAlign w:val="center"/>
          </w:tcPr>
          <w:p w14:paraId="73539AE2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250,26</w:t>
            </w:r>
          </w:p>
        </w:tc>
        <w:tc>
          <w:tcPr>
            <w:tcW w:w="1099" w:type="dxa"/>
            <w:vAlign w:val="center"/>
          </w:tcPr>
          <w:p w14:paraId="6969C703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1A04A21F" w14:textId="77777777" w:rsidR="00554CD7" w:rsidRPr="00C00CDB" w:rsidRDefault="00554CD7" w:rsidP="00554CD7">
            <w:pPr>
              <w:pStyle w:val="Standard"/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546</w:t>
            </w:r>
          </w:p>
        </w:tc>
      </w:tr>
      <w:tr w:rsidR="00C00CDB" w:rsidRPr="00C00CDB" w14:paraId="65B57177" w14:textId="77777777" w:rsidTr="00C00CDB">
        <w:trPr>
          <w:trHeight w:hRule="exact" w:val="369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D94CDDF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Doprava a ubytování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10AABED4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1678431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906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B46EF9D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8 400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6B63537E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2 950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5C86FF15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41F4C1A3" w14:textId="77777777" w:rsidR="00554CD7" w:rsidRPr="00C00CDB" w:rsidRDefault="00554CD7" w:rsidP="00554CD7">
            <w:pPr>
              <w:pStyle w:val="Standard"/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12 256</w:t>
            </w:r>
          </w:p>
        </w:tc>
      </w:tr>
      <w:tr w:rsidR="00C00CDB" w:rsidRPr="00C00CDB" w14:paraId="7BFB8F2F" w14:textId="77777777" w:rsidTr="00C00CDB">
        <w:trPr>
          <w:trHeight w:hRule="exact" w:val="369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CCEC79B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Externí služby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23CC7C4C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76C9342A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1FE3372E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9 500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6AC8A65E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11 498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EA34901" w14:textId="77777777" w:rsidR="00554CD7" w:rsidRPr="00C00CDB" w:rsidRDefault="00554CD7" w:rsidP="00554C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493471B9" w14:textId="77777777" w:rsidR="00554CD7" w:rsidRPr="00C00CDB" w:rsidRDefault="00554CD7" w:rsidP="00554CD7">
            <w:pPr>
              <w:pStyle w:val="Standard"/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20 998</w:t>
            </w:r>
          </w:p>
        </w:tc>
      </w:tr>
      <w:tr w:rsidR="00C00CDB" w:rsidRPr="00C00CDB" w14:paraId="28559686" w14:textId="77777777" w:rsidTr="00C00CDB">
        <w:trPr>
          <w:trHeight w:hRule="exact" w:val="369"/>
        </w:trPr>
        <w:tc>
          <w:tcPr>
            <w:tcW w:w="2435" w:type="dxa"/>
            <w:vAlign w:val="center"/>
          </w:tcPr>
          <w:p w14:paraId="7CB0FB20" w14:textId="77777777" w:rsidR="00554CD7" w:rsidRPr="00C00CDB" w:rsidRDefault="00554CD7" w:rsidP="00554CD7">
            <w:pPr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Vybavení</w:t>
            </w:r>
          </w:p>
        </w:tc>
        <w:tc>
          <w:tcPr>
            <w:tcW w:w="1102" w:type="dxa"/>
            <w:vAlign w:val="center"/>
          </w:tcPr>
          <w:p w14:paraId="2C9F00F9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6AF51E28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102" w:type="dxa"/>
            <w:vAlign w:val="center"/>
          </w:tcPr>
          <w:p w14:paraId="5892CC3B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110" w:type="dxa"/>
            <w:vAlign w:val="center"/>
          </w:tcPr>
          <w:p w14:paraId="12B1DC43" w14:textId="77777777" w:rsidR="00554CD7" w:rsidRPr="00C00CDB" w:rsidRDefault="00554CD7" w:rsidP="00554CD7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099" w:type="dxa"/>
            <w:vAlign w:val="center"/>
          </w:tcPr>
          <w:p w14:paraId="4C5BAE3C" w14:textId="77777777" w:rsidR="00554CD7" w:rsidRPr="00C00CDB" w:rsidRDefault="00554CD7" w:rsidP="0055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43820F7" w14:textId="77777777" w:rsidR="00554CD7" w:rsidRPr="00C00CDB" w:rsidRDefault="00554CD7" w:rsidP="00554C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C00CDB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767C50A4" w14:textId="77777777" w:rsidR="006763D2" w:rsidRPr="00C00CDB" w:rsidRDefault="00531CE2" w:rsidP="00554CD7">
      <w:pPr>
        <w:jc w:val="both"/>
        <w:rPr>
          <w:rFonts w:cstheme="minorHAnsi"/>
          <w:i/>
          <w:iCs/>
        </w:rPr>
      </w:pPr>
      <w:r w:rsidRPr="00C00CDB">
        <w:rPr>
          <w:rFonts w:cstheme="minorHAnsi"/>
          <w:i/>
          <w:iCs/>
        </w:rPr>
        <w:lastRenderedPageBreak/>
        <w:t xml:space="preserve">Nový celkový rozpočet – </w:t>
      </w:r>
      <w:r w:rsidR="00554CD7" w:rsidRPr="00C00CDB">
        <w:rPr>
          <w:rFonts w:cstheme="minorHAnsi"/>
          <w:i/>
          <w:iCs/>
        </w:rPr>
        <w:t>součást Dodatku ke Společné úmluvě (viz příloha č. 5 a 6 tohoto materiálu)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909"/>
        <w:gridCol w:w="909"/>
        <w:gridCol w:w="929"/>
        <w:gridCol w:w="929"/>
        <w:gridCol w:w="947"/>
        <w:gridCol w:w="909"/>
        <w:gridCol w:w="1059"/>
      </w:tblGrid>
      <w:tr w:rsidR="00C00CDB" w:rsidRPr="00C00CDB" w14:paraId="718648CB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AC1A" w14:textId="77777777" w:rsidR="006763D2" w:rsidRPr="00C00CDB" w:rsidRDefault="006763D2" w:rsidP="001D10B1">
            <w:pPr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1320" w14:textId="77777777" w:rsidR="006763D2" w:rsidRPr="00C00CDB" w:rsidRDefault="006763D2" w:rsidP="001D10B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13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37683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Maximální celkové výdaje</w:t>
            </w:r>
          </w:p>
        </w:tc>
      </w:tr>
      <w:tr w:rsidR="00C00CDB" w:rsidRPr="00C00CDB" w14:paraId="77AC8B7C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A37F58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Rozpočtové kategorie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2683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5DBD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2018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CF96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2019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829D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2020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281B3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2021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68080" w14:textId="68F2D491" w:rsidR="006763D2" w:rsidRPr="00C00CDB" w:rsidRDefault="00C00CDB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CELKEM</w:t>
            </w:r>
          </w:p>
        </w:tc>
      </w:tr>
      <w:tr w:rsidR="00C00CDB" w:rsidRPr="00C00CDB" w14:paraId="72FDF27D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FDD9" w14:textId="77777777" w:rsidR="006763D2" w:rsidRPr="00C00CDB" w:rsidRDefault="006763D2" w:rsidP="001D10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3397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1. fáze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05D0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2. fáze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F439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2. fáze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0BB1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2. fáze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6F19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2. fáze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E34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1. fáze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EEDA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2. fáze</w:t>
            </w:r>
          </w:p>
        </w:tc>
      </w:tr>
      <w:tr w:rsidR="00C00CDB" w:rsidRPr="00C00CDB" w14:paraId="5548D063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8B0" w14:textId="77777777" w:rsidR="006763D2" w:rsidRPr="00C00CDB" w:rsidRDefault="006763D2" w:rsidP="001D10B1">
            <w:pPr>
              <w:pStyle w:val="Standard"/>
              <w:spacing w:before="12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Personální náklady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467" w14:textId="77777777" w:rsidR="006763D2" w:rsidRPr="00C00CDB" w:rsidRDefault="006763D2" w:rsidP="001D10B1">
            <w:pPr>
              <w:jc w:val="center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3A9" w14:textId="77777777" w:rsidR="006763D2" w:rsidRPr="00C00CDB" w:rsidRDefault="006763D2" w:rsidP="001D10B1">
            <w:pPr>
              <w:jc w:val="right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820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7 898,83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CBF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7 500,00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E72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2 801,17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B0F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1A7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18 200,</w:t>
            </w:r>
            <w:r w:rsidR="00B84538"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</w:t>
            </w: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  <w:tr w:rsidR="00C00CDB" w:rsidRPr="00C00CDB" w14:paraId="685E7DA8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562" w14:textId="77777777" w:rsidR="006763D2" w:rsidRPr="00C00CDB" w:rsidRDefault="006763D2" w:rsidP="001D10B1">
            <w:pPr>
              <w:pStyle w:val="Standard"/>
              <w:spacing w:before="12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Administrativa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E42" w14:textId="77777777" w:rsidR="006763D2" w:rsidRPr="00C00CDB" w:rsidRDefault="006763D2" w:rsidP="001D10B1">
            <w:pPr>
              <w:jc w:val="center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C20" w14:textId="77777777" w:rsidR="006763D2" w:rsidRPr="00C00CDB" w:rsidRDefault="006763D2" w:rsidP="001D10B1">
            <w:pPr>
              <w:jc w:val="right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A519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236,96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205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225,00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DAA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84,04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00D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C87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546,</w:t>
            </w:r>
            <w:r w:rsidR="00B84538"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</w:t>
            </w: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  <w:tr w:rsidR="00C00CDB" w:rsidRPr="00C00CDB" w14:paraId="43606ACA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79557" w14:textId="77777777" w:rsidR="006763D2" w:rsidRPr="00C00CDB" w:rsidRDefault="006763D2" w:rsidP="001D10B1">
            <w:pPr>
              <w:pStyle w:val="Standard"/>
              <w:spacing w:before="12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Doprava a ubytování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8CF06" w14:textId="77777777" w:rsidR="006763D2" w:rsidRPr="00C00CDB" w:rsidRDefault="006763D2" w:rsidP="001D10B1">
            <w:pPr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AD74B" w14:textId="77777777" w:rsidR="006763D2" w:rsidRPr="00C00CDB" w:rsidRDefault="006763D2" w:rsidP="001D10B1">
            <w:pPr>
              <w:jc w:val="right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24856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6 029,62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EE0141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2F7C1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3 776,38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75220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65324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9 806,0</w:t>
            </w:r>
            <w:r w:rsidR="00B84538"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  <w:tr w:rsidR="00C00CDB" w:rsidRPr="00C00CDB" w14:paraId="0FDB8B54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D91A3" w14:textId="77777777" w:rsidR="006763D2" w:rsidRPr="00C00CDB" w:rsidRDefault="006763D2" w:rsidP="001D10B1">
            <w:pPr>
              <w:pStyle w:val="Standard"/>
              <w:spacing w:before="12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Externí služby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8F448" w14:textId="77777777" w:rsidR="006763D2" w:rsidRPr="00C00CDB" w:rsidRDefault="006763D2" w:rsidP="001D10B1">
            <w:pPr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02E5E" w14:textId="77777777" w:rsidR="006763D2" w:rsidRPr="00C00CDB" w:rsidRDefault="006763D2" w:rsidP="001D10B1">
            <w:pPr>
              <w:jc w:val="right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FBF89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633,82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3E07B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5 700,00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7B63D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17 114,18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6F6AF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27E14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23 448,0</w:t>
            </w:r>
          </w:p>
        </w:tc>
      </w:tr>
      <w:tr w:rsidR="00C00CDB" w:rsidRPr="00C00CDB" w14:paraId="490C327D" w14:textId="77777777" w:rsidTr="00C00CDB">
        <w:trPr>
          <w:trHeight w:hRule="exact" w:val="369"/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29F" w14:textId="77777777" w:rsidR="006763D2" w:rsidRPr="00C00CDB" w:rsidRDefault="006763D2" w:rsidP="001D10B1">
            <w:pPr>
              <w:pStyle w:val="Standard"/>
              <w:spacing w:before="12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Vybavení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4EF" w14:textId="77777777" w:rsidR="006763D2" w:rsidRPr="00C00CDB" w:rsidRDefault="006763D2" w:rsidP="001D10B1">
            <w:pPr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9AC" w14:textId="77777777" w:rsidR="006763D2" w:rsidRPr="00C00CDB" w:rsidRDefault="006763D2" w:rsidP="001D10B1">
            <w:pPr>
              <w:jc w:val="right"/>
              <w:rPr>
                <w:rFonts w:cstheme="minorHAnsi"/>
                <w:sz w:val="20"/>
                <w:szCs w:val="20"/>
                <w:lang w:eastAsia="pt-PT"/>
              </w:rPr>
            </w:pPr>
            <w:r w:rsidRPr="00C00CDB">
              <w:rPr>
                <w:rFonts w:cstheme="minorHAnsi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746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F77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333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37E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C0D" w14:textId="77777777" w:rsidR="006763D2" w:rsidRPr="00C00CDB" w:rsidRDefault="006763D2" w:rsidP="001D10B1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00C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0,0</w:t>
            </w:r>
          </w:p>
        </w:tc>
      </w:tr>
    </w:tbl>
    <w:p w14:paraId="73F9B14F" w14:textId="5A4AAACF" w:rsidR="00CB08D5" w:rsidRPr="00C00CDB" w:rsidRDefault="00773ACE" w:rsidP="00EF4FA5">
      <w:pPr>
        <w:spacing w:before="120" w:after="240" w:line="240" w:lineRule="auto"/>
        <w:jc w:val="both"/>
        <w:rPr>
          <w:rFonts w:cstheme="minorHAnsi"/>
        </w:rPr>
      </w:pPr>
      <w:r w:rsidRPr="00C00CDB">
        <w:rPr>
          <w:rFonts w:cstheme="minorHAnsi"/>
        </w:rPr>
        <w:t xml:space="preserve">Od počátku realizace však proběhla řada aktivit (viz výše v textu) a alokované finanční prostředky byly </w:t>
      </w:r>
      <w:r w:rsidR="00F97AD8" w:rsidRPr="00C00CDB">
        <w:rPr>
          <w:rFonts w:cstheme="minorHAnsi"/>
        </w:rPr>
        <w:t>částečně již</w:t>
      </w:r>
      <w:r w:rsidRPr="00C00CDB">
        <w:rPr>
          <w:rFonts w:cstheme="minorHAnsi"/>
        </w:rPr>
        <w:t xml:space="preserve"> čerpány.</w:t>
      </w:r>
    </w:p>
    <w:p w14:paraId="4D1423FA" w14:textId="77777777" w:rsidR="00773ACE" w:rsidRPr="00C00CDB" w:rsidRDefault="00773ACE" w:rsidP="00EF4FA5">
      <w:pPr>
        <w:spacing w:before="120" w:after="240" w:line="240" w:lineRule="auto"/>
        <w:jc w:val="both"/>
        <w:rPr>
          <w:rFonts w:cstheme="minorHAnsi"/>
          <w:i/>
          <w:iCs/>
        </w:rPr>
      </w:pPr>
      <w:r w:rsidRPr="00C00CDB">
        <w:rPr>
          <w:rFonts w:cstheme="minorHAnsi"/>
          <w:i/>
          <w:iCs/>
        </w:rPr>
        <w:t>Tabulka čerpání a zůstatku k 1.1.2021.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1461"/>
        <w:gridCol w:w="1725"/>
        <w:gridCol w:w="1466"/>
        <w:gridCol w:w="2118"/>
      </w:tblGrid>
      <w:tr w:rsidR="00C00CDB" w:rsidRPr="00C00CDB" w14:paraId="473866BB" w14:textId="77777777" w:rsidTr="00554CD7">
        <w:trPr>
          <w:trHeight w:val="516"/>
        </w:trPr>
        <w:tc>
          <w:tcPr>
            <w:tcW w:w="1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677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222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Doposud vyčerpáno </w:t>
            </w:r>
          </w:p>
        </w:tc>
        <w:tc>
          <w:tcPr>
            <w:tcW w:w="19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FB752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Zbývá čerpat v EUR</w:t>
            </w:r>
          </w:p>
        </w:tc>
      </w:tr>
      <w:tr w:rsidR="00C00CDB" w:rsidRPr="00C00CDB" w14:paraId="37BDFA4E" w14:textId="77777777" w:rsidTr="00C00CDB">
        <w:trPr>
          <w:trHeight w:val="48"/>
        </w:trPr>
        <w:tc>
          <w:tcPr>
            <w:tcW w:w="12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8A3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ADA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(v letech </w:t>
            </w:r>
            <w:proofErr w:type="gramStart"/>
            <w:r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201</w:t>
            </w:r>
            <w:r w:rsidR="00554CD7"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9</w:t>
            </w:r>
            <w:r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- 2020</w:t>
            </w:r>
            <w:proofErr w:type="gramEnd"/>
            <w:r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9DDC8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(v roce 2021)</w:t>
            </w:r>
          </w:p>
        </w:tc>
      </w:tr>
      <w:tr w:rsidR="00C00CDB" w:rsidRPr="00C00CDB" w14:paraId="13CD633A" w14:textId="77777777" w:rsidTr="00554CD7">
        <w:trPr>
          <w:trHeight w:val="300"/>
        </w:trPr>
        <w:tc>
          <w:tcPr>
            <w:tcW w:w="1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21A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907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 EUR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3341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 CZK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9EB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 EUR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E607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 CZK</w:t>
            </w:r>
          </w:p>
        </w:tc>
      </w:tr>
      <w:tr w:rsidR="00C00CDB" w:rsidRPr="00C00CDB" w14:paraId="7ECD2284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2E4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Mzdové náklady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EDC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15 399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315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400 370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934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2 801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228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72 830</w:t>
            </w:r>
          </w:p>
        </w:tc>
      </w:tr>
      <w:tr w:rsidR="00C00CDB" w:rsidRPr="00C00CDB" w14:paraId="3F4D13D5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7ED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Administrativní výdaje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03F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FDC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12 011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5FF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0C4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2 185</w:t>
            </w:r>
          </w:p>
        </w:tc>
      </w:tr>
      <w:tr w:rsidR="00C00CDB" w:rsidRPr="00C00CDB" w14:paraId="6C7B4A78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EAA20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Cestovní náklady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135A2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6 030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387E8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156 770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19304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3 776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1E216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98 186</w:t>
            </w:r>
          </w:p>
        </w:tc>
      </w:tr>
      <w:tr w:rsidR="00C00CDB" w:rsidRPr="00C00CDB" w14:paraId="6F71BDC2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4CDB0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Externí služby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3A895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6 334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75F8E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164 679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99524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17 114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B55A6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444 969</w:t>
            </w:r>
          </w:p>
        </w:tc>
      </w:tr>
      <w:tr w:rsidR="00C00CDB" w:rsidRPr="00C00CDB" w14:paraId="63F870B2" w14:textId="77777777" w:rsidTr="00C00CDB">
        <w:trPr>
          <w:trHeight w:val="594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070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A75C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28 224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32D6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733 830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159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23 776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27E" w14:textId="77777777" w:rsidR="003F3F4F" w:rsidRPr="00C00CDB" w:rsidRDefault="003F3F4F" w:rsidP="003F3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618 170</w:t>
            </w:r>
          </w:p>
        </w:tc>
      </w:tr>
      <w:tr w:rsidR="00C00CDB" w:rsidRPr="00C00CDB" w14:paraId="729A8333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F7E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lang w:eastAsia="cs-CZ"/>
              </w:rPr>
              <w:t>Celkový rozpočet v EUR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504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380A" w14:textId="77777777" w:rsidR="003F3F4F" w:rsidRPr="00C00CDB" w:rsidRDefault="003F3F4F" w:rsidP="003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AC74" w14:textId="77777777" w:rsidR="003F3F4F" w:rsidRPr="00C00CDB" w:rsidRDefault="003F3F4F" w:rsidP="003F3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b/>
                <w:bCs/>
                <w:lang w:eastAsia="cs-CZ"/>
              </w:rPr>
              <w:t>52 000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A94C" w14:textId="77777777" w:rsidR="003F3F4F" w:rsidRPr="00C00CDB" w:rsidRDefault="003F3F4F" w:rsidP="003F3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C00CDB" w:rsidRPr="00C00CDB" w14:paraId="147D2C70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D61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lang w:eastAsia="cs-CZ"/>
              </w:rPr>
              <w:t>Celkový rozpočet v CZK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83D6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B2A" w14:textId="77777777" w:rsidR="003F3F4F" w:rsidRPr="00C00CDB" w:rsidRDefault="003F3F4F" w:rsidP="003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C9A" w14:textId="77777777" w:rsidR="003F3F4F" w:rsidRPr="00C00CDB" w:rsidRDefault="003F3F4F" w:rsidP="003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1B0" w14:textId="77777777" w:rsidR="003F3F4F" w:rsidRPr="00C00CDB" w:rsidRDefault="003F3F4F" w:rsidP="003F3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lang w:eastAsia="cs-CZ"/>
              </w:rPr>
              <w:t>1 352 000</w:t>
            </w:r>
          </w:p>
        </w:tc>
      </w:tr>
      <w:tr w:rsidR="00C00CDB" w:rsidRPr="00C00CDB" w14:paraId="18C27C5E" w14:textId="77777777" w:rsidTr="00554CD7">
        <w:trPr>
          <w:trHeight w:val="288"/>
        </w:trPr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93D0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i/>
                <w:iCs/>
                <w:lang w:eastAsia="cs-CZ"/>
              </w:rPr>
              <w:t>Spolufinancování SMO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536" w14:textId="77777777" w:rsidR="003F3F4F" w:rsidRPr="00C00CDB" w:rsidRDefault="003F3F4F" w:rsidP="003F3F4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981" w14:textId="77777777" w:rsidR="003F3F4F" w:rsidRPr="00C00CDB" w:rsidRDefault="003F3F4F" w:rsidP="003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F3F" w14:textId="77777777" w:rsidR="003F3F4F" w:rsidRPr="00C00CDB" w:rsidRDefault="003F3F4F" w:rsidP="003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BE26" w14:textId="77777777" w:rsidR="003F3F4F" w:rsidRPr="00C00CDB" w:rsidRDefault="003F3F4F" w:rsidP="003F3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00CDB">
              <w:rPr>
                <w:rFonts w:ascii="Calibri" w:eastAsia="Times New Roman" w:hAnsi="Calibri" w:cs="Calibri"/>
                <w:i/>
                <w:iCs/>
                <w:lang w:eastAsia="cs-CZ"/>
              </w:rPr>
              <w:t>202 800</w:t>
            </w:r>
          </w:p>
        </w:tc>
      </w:tr>
    </w:tbl>
    <w:p w14:paraId="678E020E" w14:textId="78BE6B27" w:rsidR="00F97AD8" w:rsidRPr="00C00CDB" w:rsidRDefault="00F97AD8" w:rsidP="00554CD7">
      <w:pPr>
        <w:spacing w:before="120" w:after="240"/>
        <w:jc w:val="both"/>
        <w:rPr>
          <w:rFonts w:cstheme="minorHAnsi"/>
        </w:rPr>
      </w:pPr>
      <w:r w:rsidRPr="00C00CDB">
        <w:rPr>
          <w:rFonts w:cstheme="minorHAnsi"/>
        </w:rPr>
        <w:t>V tuto chvíli tedy navrhujeme přesunout položky v rozpočtu do těch kapitol, kde je stále naděje na jejich čerpání. Toto však neznamená, že by je statutární město čerpalo bezúčelně</w:t>
      </w:r>
      <w:r w:rsidR="00C00CDB">
        <w:rPr>
          <w:rFonts w:cstheme="minorHAnsi"/>
        </w:rPr>
        <w:t>,</w:t>
      </w:r>
      <w:r w:rsidRPr="00C00CDB">
        <w:rPr>
          <w:rFonts w:cstheme="minorHAnsi"/>
        </w:rPr>
        <w:t xml:space="preserve"> jen s cílem jejich dočerpání. </w:t>
      </w:r>
    </w:p>
    <w:p w14:paraId="791D3F79" w14:textId="25632D10" w:rsidR="003B6DAB" w:rsidRPr="00C00CDB" w:rsidRDefault="00B84538" w:rsidP="001B0754">
      <w:pPr>
        <w:jc w:val="both"/>
        <w:rPr>
          <w:i/>
          <w:iCs/>
        </w:rPr>
      </w:pPr>
      <w:r w:rsidRPr="00C00CDB">
        <w:rPr>
          <w:i/>
          <w:iCs/>
        </w:rPr>
        <w:t>Nov</w:t>
      </w:r>
      <w:r w:rsidR="00033873" w:rsidRPr="00C00CDB">
        <w:rPr>
          <w:i/>
          <w:iCs/>
        </w:rPr>
        <w:t>á verze rozpočt</w:t>
      </w:r>
      <w:r w:rsidR="00DD6D84" w:rsidRPr="00C00CDB">
        <w:rPr>
          <w:i/>
          <w:iCs/>
        </w:rPr>
        <w:t>u</w:t>
      </w:r>
      <w:r w:rsidR="00033873" w:rsidRPr="00C00CDB">
        <w:rPr>
          <w:i/>
          <w:iCs/>
        </w:rPr>
        <w:t xml:space="preserve"> tvoří nedílnou součást </w:t>
      </w:r>
      <w:r w:rsidR="003B6DAB" w:rsidRPr="00C00CDB">
        <w:rPr>
          <w:i/>
          <w:iCs/>
        </w:rPr>
        <w:t>D</w:t>
      </w:r>
      <w:r w:rsidR="00033873" w:rsidRPr="00C00CDB">
        <w:rPr>
          <w:i/>
          <w:iCs/>
        </w:rPr>
        <w:t>odatku</w:t>
      </w:r>
      <w:r w:rsidR="00DD6D84" w:rsidRPr="00C00CDB">
        <w:rPr>
          <w:i/>
          <w:iCs/>
        </w:rPr>
        <w:t xml:space="preserve">. </w:t>
      </w:r>
      <w:r w:rsidR="003B6DAB" w:rsidRPr="00C00CDB">
        <w:rPr>
          <w:i/>
          <w:iCs/>
        </w:rPr>
        <w:t xml:space="preserve">Rozpočtové změny byly schváleny Monitorovacím výborem Sekretariátu URBACT na podzim tohoto roku v rámci tzv. </w:t>
      </w:r>
      <w:r w:rsidR="00272D57" w:rsidRPr="00C00CDB">
        <w:rPr>
          <w:i/>
          <w:iCs/>
        </w:rPr>
        <w:t xml:space="preserve"> </w:t>
      </w:r>
      <w:r w:rsidR="003B6DAB" w:rsidRPr="00C00CDB">
        <w:rPr>
          <w:i/>
          <w:iCs/>
        </w:rPr>
        <w:t>přeprogramovacího</w:t>
      </w:r>
      <w:r w:rsidR="00272D57" w:rsidRPr="00C00CDB">
        <w:rPr>
          <w:i/>
          <w:iCs/>
        </w:rPr>
        <w:t xml:space="preserve"> období</w:t>
      </w:r>
      <w:r w:rsidR="003B6DAB" w:rsidRPr="00C00CDB">
        <w:rPr>
          <w:i/>
          <w:iCs/>
        </w:rPr>
        <w:t xml:space="preserve">. Dodatek byl následně finalizován hlavním partnerem a předložen k podpisu jednotlivým partnerům zapojeným do projektu com.unity.lab dne 14. prosince 2020. </w:t>
      </w:r>
      <w:r w:rsidR="00DD6D84" w:rsidRPr="00C00CDB">
        <w:rPr>
          <w:i/>
          <w:iCs/>
        </w:rPr>
        <w:t>Úkolem každého partnera je zajistit podpis osoby oprávněné za instituci podepisovat veškeré dokumenty související s účast</w:t>
      </w:r>
      <w:r w:rsidR="004A0016">
        <w:rPr>
          <w:i/>
          <w:iCs/>
        </w:rPr>
        <w:t>í</w:t>
      </w:r>
      <w:r w:rsidR="00DD6D84" w:rsidRPr="00C00CDB">
        <w:rPr>
          <w:i/>
          <w:iCs/>
        </w:rPr>
        <w:t xml:space="preserve"> na projektu a odevzdat v určeném termínu </w:t>
      </w:r>
      <w:r w:rsidR="001B0754" w:rsidRPr="00C00CDB">
        <w:rPr>
          <w:i/>
          <w:iCs/>
        </w:rPr>
        <w:t>řídícímu orgánu a hlavnímu partnerovi.</w:t>
      </w:r>
    </w:p>
    <w:bookmarkEnd w:id="0"/>
    <w:p w14:paraId="7219024F" w14:textId="77777777" w:rsidR="0012646B" w:rsidRDefault="0012646B" w:rsidP="00093C1B">
      <w:pPr>
        <w:spacing w:before="120" w:after="240" w:line="240" w:lineRule="auto"/>
        <w:jc w:val="both"/>
        <w:rPr>
          <w:sz w:val="20"/>
          <w:szCs w:val="20"/>
        </w:rPr>
      </w:pPr>
    </w:p>
    <w:p w14:paraId="447A8C8E" w14:textId="77777777" w:rsidR="00C9753E" w:rsidRDefault="00C9753E" w:rsidP="00994C29">
      <w:pPr>
        <w:spacing w:before="120" w:after="240" w:line="240" w:lineRule="auto"/>
        <w:rPr>
          <w:b/>
        </w:rPr>
      </w:pPr>
    </w:p>
    <w:p w14:paraId="2C6F072B" w14:textId="77777777" w:rsidR="00C9753E" w:rsidRDefault="00C9753E" w:rsidP="00994C29">
      <w:pPr>
        <w:spacing w:before="120" w:after="240" w:line="240" w:lineRule="auto"/>
        <w:rPr>
          <w:b/>
        </w:rPr>
      </w:pPr>
    </w:p>
    <w:sectPr w:rsidR="00C9753E" w:rsidSect="00C00CDB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556A"/>
    <w:multiLevelType w:val="hybridMultilevel"/>
    <w:tmpl w:val="3B14D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60AE"/>
    <w:multiLevelType w:val="hybridMultilevel"/>
    <w:tmpl w:val="071E8CD6"/>
    <w:lvl w:ilvl="0" w:tplc="4872B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39A"/>
    <w:multiLevelType w:val="hybridMultilevel"/>
    <w:tmpl w:val="F2C292C0"/>
    <w:lvl w:ilvl="0" w:tplc="367A3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01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2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E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81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7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FC2C38"/>
    <w:multiLevelType w:val="hybridMultilevel"/>
    <w:tmpl w:val="2F4E12F0"/>
    <w:lvl w:ilvl="0" w:tplc="EC24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6F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2B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E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2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8E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8E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5C6BA5"/>
    <w:multiLevelType w:val="hybridMultilevel"/>
    <w:tmpl w:val="A1165B48"/>
    <w:lvl w:ilvl="0" w:tplc="D0FA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30B1"/>
    <w:multiLevelType w:val="hybridMultilevel"/>
    <w:tmpl w:val="800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3F3C"/>
    <w:multiLevelType w:val="hybridMultilevel"/>
    <w:tmpl w:val="360E4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5FE3"/>
    <w:multiLevelType w:val="hybridMultilevel"/>
    <w:tmpl w:val="147C2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6E6C"/>
    <w:multiLevelType w:val="hybridMultilevel"/>
    <w:tmpl w:val="9C26D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B0EB0"/>
    <w:multiLevelType w:val="hybridMultilevel"/>
    <w:tmpl w:val="3196D86C"/>
    <w:lvl w:ilvl="0" w:tplc="C5003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51439"/>
    <w:multiLevelType w:val="hybridMultilevel"/>
    <w:tmpl w:val="17A67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4205E"/>
    <w:multiLevelType w:val="hybridMultilevel"/>
    <w:tmpl w:val="CD6A05F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C5260D9"/>
    <w:multiLevelType w:val="hybridMultilevel"/>
    <w:tmpl w:val="EE9A3824"/>
    <w:lvl w:ilvl="0" w:tplc="4412B3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984"/>
    <w:multiLevelType w:val="hybridMultilevel"/>
    <w:tmpl w:val="1228C4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A3511"/>
    <w:multiLevelType w:val="hybridMultilevel"/>
    <w:tmpl w:val="0B00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2522"/>
    <w:multiLevelType w:val="hybridMultilevel"/>
    <w:tmpl w:val="0BAC1B2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433033"/>
    <w:multiLevelType w:val="hybridMultilevel"/>
    <w:tmpl w:val="C24ED1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65"/>
    <w:rsid w:val="00010E11"/>
    <w:rsid w:val="00033873"/>
    <w:rsid w:val="00040BF2"/>
    <w:rsid w:val="0004562B"/>
    <w:rsid w:val="00067721"/>
    <w:rsid w:val="000844CD"/>
    <w:rsid w:val="00087174"/>
    <w:rsid w:val="00093C1B"/>
    <w:rsid w:val="000B6234"/>
    <w:rsid w:val="000F566B"/>
    <w:rsid w:val="001179C4"/>
    <w:rsid w:val="0012646B"/>
    <w:rsid w:val="00135271"/>
    <w:rsid w:val="001357EC"/>
    <w:rsid w:val="001368A5"/>
    <w:rsid w:val="00151756"/>
    <w:rsid w:val="001B0754"/>
    <w:rsid w:val="001C31FB"/>
    <w:rsid w:val="001F507F"/>
    <w:rsid w:val="002248D9"/>
    <w:rsid w:val="00237CA0"/>
    <w:rsid w:val="00251E0C"/>
    <w:rsid w:val="00253D31"/>
    <w:rsid w:val="0026583E"/>
    <w:rsid w:val="00272D57"/>
    <w:rsid w:val="002747D8"/>
    <w:rsid w:val="00290CF6"/>
    <w:rsid w:val="002A4C33"/>
    <w:rsid w:val="002B2390"/>
    <w:rsid w:val="0034164A"/>
    <w:rsid w:val="003452F1"/>
    <w:rsid w:val="003B1757"/>
    <w:rsid w:val="003B6DAB"/>
    <w:rsid w:val="003C7C65"/>
    <w:rsid w:val="003F3F4F"/>
    <w:rsid w:val="003F6737"/>
    <w:rsid w:val="004037A2"/>
    <w:rsid w:val="00416D5B"/>
    <w:rsid w:val="004421C5"/>
    <w:rsid w:val="00445D87"/>
    <w:rsid w:val="004562E2"/>
    <w:rsid w:val="00495335"/>
    <w:rsid w:val="004A0016"/>
    <w:rsid w:val="004A4B46"/>
    <w:rsid w:val="004B4643"/>
    <w:rsid w:val="004B4B66"/>
    <w:rsid w:val="004B5A70"/>
    <w:rsid w:val="004B7D10"/>
    <w:rsid w:val="004E3C77"/>
    <w:rsid w:val="004F5033"/>
    <w:rsid w:val="00505472"/>
    <w:rsid w:val="00525131"/>
    <w:rsid w:val="00531CE2"/>
    <w:rsid w:val="005373D9"/>
    <w:rsid w:val="00554CD7"/>
    <w:rsid w:val="0057108C"/>
    <w:rsid w:val="005734C2"/>
    <w:rsid w:val="00582C4F"/>
    <w:rsid w:val="005A711B"/>
    <w:rsid w:val="005B32A6"/>
    <w:rsid w:val="005B7BF8"/>
    <w:rsid w:val="005C522E"/>
    <w:rsid w:val="006101BF"/>
    <w:rsid w:val="00632EEB"/>
    <w:rsid w:val="006763D2"/>
    <w:rsid w:val="00690CDD"/>
    <w:rsid w:val="007643AA"/>
    <w:rsid w:val="00773ACE"/>
    <w:rsid w:val="007877B6"/>
    <w:rsid w:val="007918B6"/>
    <w:rsid w:val="007A5D92"/>
    <w:rsid w:val="00811610"/>
    <w:rsid w:val="00814DEC"/>
    <w:rsid w:val="008166DC"/>
    <w:rsid w:val="0081720A"/>
    <w:rsid w:val="0084767F"/>
    <w:rsid w:val="008701F9"/>
    <w:rsid w:val="00896AA6"/>
    <w:rsid w:val="0089731E"/>
    <w:rsid w:val="008F4EDB"/>
    <w:rsid w:val="00932FF9"/>
    <w:rsid w:val="00994C29"/>
    <w:rsid w:val="009A1133"/>
    <w:rsid w:val="009C61C5"/>
    <w:rsid w:val="009E5A35"/>
    <w:rsid w:val="00A338BC"/>
    <w:rsid w:val="00A61201"/>
    <w:rsid w:val="00A6433C"/>
    <w:rsid w:val="00A80CF2"/>
    <w:rsid w:val="00AD2CDA"/>
    <w:rsid w:val="00B254D8"/>
    <w:rsid w:val="00B40628"/>
    <w:rsid w:val="00B61EBA"/>
    <w:rsid w:val="00B649D5"/>
    <w:rsid w:val="00B84538"/>
    <w:rsid w:val="00B95441"/>
    <w:rsid w:val="00BB049E"/>
    <w:rsid w:val="00BC4AB4"/>
    <w:rsid w:val="00BD2796"/>
    <w:rsid w:val="00BD5D5C"/>
    <w:rsid w:val="00BE1534"/>
    <w:rsid w:val="00BE5A60"/>
    <w:rsid w:val="00BF1F4E"/>
    <w:rsid w:val="00C00CDB"/>
    <w:rsid w:val="00C172C6"/>
    <w:rsid w:val="00C23EEE"/>
    <w:rsid w:val="00C41029"/>
    <w:rsid w:val="00C66A7F"/>
    <w:rsid w:val="00C940A3"/>
    <w:rsid w:val="00C9753E"/>
    <w:rsid w:val="00C97746"/>
    <w:rsid w:val="00CB0188"/>
    <w:rsid w:val="00CB08D5"/>
    <w:rsid w:val="00CB4BC6"/>
    <w:rsid w:val="00CB5754"/>
    <w:rsid w:val="00CC3D5E"/>
    <w:rsid w:val="00CE0C68"/>
    <w:rsid w:val="00CE3432"/>
    <w:rsid w:val="00D256EA"/>
    <w:rsid w:val="00D84C6C"/>
    <w:rsid w:val="00DC3CD6"/>
    <w:rsid w:val="00DD0267"/>
    <w:rsid w:val="00DD6D84"/>
    <w:rsid w:val="00E01C0B"/>
    <w:rsid w:val="00E27100"/>
    <w:rsid w:val="00E30819"/>
    <w:rsid w:val="00E50818"/>
    <w:rsid w:val="00E76EBD"/>
    <w:rsid w:val="00E84D58"/>
    <w:rsid w:val="00E85753"/>
    <w:rsid w:val="00EE2178"/>
    <w:rsid w:val="00EE33A8"/>
    <w:rsid w:val="00EF4FA5"/>
    <w:rsid w:val="00F135F9"/>
    <w:rsid w:val="00F144E2"/>
    <w:rsid w:val="00F25E4A"/>
    <w:rsid w:val="00F36921"/>
    <w:rsid w:val="00F5787D"/>
    <w:rsid w:val="00F74F97"/>
    <w:rsid w:val="00F84B54"/>
    <w:rsid w:val="00F97AD8"/>
    <w:rsid w:val="00FA144A"/>
    <w:rsid w:val="00FB14D3"/>
    <w:rsid w:val="00FC1F4A"/>
    <w:rsid w:val="00FC64A9"/>
    <w:rsid w:val="00FE6E41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BDCFB2"/>
  <w15:docId w15:val="{269CCC90-FACD-45F3-8D6E-817A7C0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0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C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7C65"/>
    <w:pPr>
      <w:ind w:left="720"/>
      <w:contextualSpacing/>
    </w:pPr>
  </w:style>
  <w:style w:type="paragraph" w:customStyle="1" w:styleId="Default">
    <w:name w:val="Default"/>
    <w:rsid w:val="001264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2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Default"/>
    <w:next w:val="Default"/>
    <w:rsid w:val="00B254D8"/>
    <w:pPr>
      <w:spacing w:before="240"/>
    </w:pPr>
    <w:rPr>
      <w:rFonts w:ascii="TimesNewRomanPS-BoldMT" w:eastAsia="Times New Roman" w:hAnsi="TimesNewRomanPS-BoldMT" w:cs="Times New Roman"/>
      <w:color w:val="auto"/>
      <w:lang w:val="fr-FR" w:eastAsia="fr-FR"/>
    </w:rPr>
  </w:style>
  <w:style w:type="character" w:styleId="Zstupntext">
    <w:name w:val="Placeholder Text"/>
    <w:basedOn w:val="Standardnpsmoodstavce"/>
    <w:uiPriority w:val="99"/>
    <w:semiHidden/>
    <w:rsid w:val="003452F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E30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D2CD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jnova.cz/projekt/com-unity-lab-proj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1482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Bonito Kateřina</dc:creator>
  <cp:lastModifiedBy>Bonito Kateřina</cp:lastModifiedBy>
  <cp:revision>2</cp:revision>
  <cp:lastPrinted>2020-12-21T10:45:00Z</cp:lastPrinted>
  <dcterms:created xsi:type="dcterms:W3CDTF">2021-01-11T07:38:00Z</dcterms:created>
  <dcterms:modified xsi:type="dcterms:W3CDTF">2021-01-11T07:38:00Z</dcterms:modified>
</cp:coreProperties>
</file>