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C1171" w14:textId="35FFD805" w:rsidR="00FA3601" w:rsidRDefault="00181047" w:rsidP="00834D2C">
      <w:pPr>
        <w:pStyle w:val="Nzev"/>
      </w:pPr>
      <w:r>
        <w:t xml:space="preserve">Program na podporu </w:t>
      </w:r>
      <w:r w:rsidRPr="00181047">
        <w:t xml:space="preserve">významných sportovních akcí </w:t>
      </w:r>
      <w:r>
        <w:t>na území statu</w:t>
      </w:r>
      <w:r w:rsidR="00BD0410">
        <w:t>t</w:t>
      </w:r>
      <w:r>
        <w:t>árního města Ostravy v roce 2022</w:t>
      </w:r>
    </w:p>
    <w:p w14:paraId="3B1616EF" w14:textId="77777777" w:rsidR="00834D2C" w:rsidRDefault="00834D2C" w:rsidP="005B2D1E">
      <w:pPr>
        <w:pStyle w:val="Nadpis1"/>
        <w:ind w:left="709" w:hanging="709"/>
      </w:pPr>
      <w:r>
        <w:t>Název programu</w:t>
      </w:r>
    </w:p>
    <w:p w14:paraId="597AA477" w14:textId="63FA0DA4" w:rsidR="00834D2C" w:rsidRDefault="00181047" w:rsidP="00834D2C">
      <w:r w:rsidRPr="00181047">
        <w:t>Program na podporu významných sportovních akcí na území statu</w:t>
      </w:r>
      <w:r w:rsidR="00BD0410">
        <w:t>t</w:t>
      </w:r>
      <w:r w:rsidRPr="00181047">
        <w:t>árního města Ostravy v roce 2022</w:t>
      </w:r>
      <w:r>
        <w:t>. (</w:t>
      </w:r>
      <w:proofErr w:type="spellStart"/>
      <w:r>
        <w:t>ŠaS</w:t>
      </w:r>
      <w:proofErr w:type="spellEnd"/>
      <w:r>
        <w:t>/AKCE)</w:t>
      </w:r>
    </w:p>
    <w:p w14:paraId="51045AAC" w14:textId="77777777" w:rsidR="00834D2C" w:rsidRDefault="00834D2C" w:rsidP="005B2D1E">
      <w:pPr>
        <w:pStyle w:val="Nadpis1"/>
        <w:ind w:left="709" w:hanging="709"/>
      </w:pPr>
      <w:r w:rsidRPr="00834D2C">
        <w:t>Vyhlašovatel programu, poskytovatel dotace</w:t>
      </w:r>
    </w:p>
    <w:p w14:paraId="2F17527A" w14:textId="77777777" w:rsidR="00834D2C" w:rsidRDefault="00834D2C" w:rsidP="00834D2C">
      <w:pPr>
        <w:jc w:val="both"/>
      </w:pPr>
      <w:r w:rsidRPr="00834D2C">
        <w:t>Vyhlašovatelem programu a poskytovatelem dotace je statutární město Ostrava, Prokešovo náměstí</w:t>
      </w:r>
      <w:r>
        <w:t> </w:t>
      </w:r>
      <w:r w:rsidRPr="00834D2C">
        <w:t>8, 729 30 Ostrava, IČO: 00845451.</w:t>
      </w:r>
    </w:p>
    <w:p w14:paraId="2CC3CB91" w14:textId="77777777" w:rsidR="00834D2C" w:rsidRDefault="00834D2C" w:rsidP="008A3B8D">
      <w:pPr>
        <w:pStyle w:val="Nadpis1"/>
        <w:ind w:hanging="720"/>
      </w:pPr>
      <w:r>
        <w:t xml:space="preserve">Účel dotačního programu </w:t>
      </w:r>
    </w:p>
    <w:p w14:paraId="6E654AD2" w14:textId="7521EF67" w:rsidR="00834D2C" w:rsidRPr="000D5532" w:rsidRDefault="000D5532" w:rsidP="002354AB">
      <w:pPr>
        <w:jc w:val="both"/>
      </w:pPr>
      <w:r w:rsidRPr="000D5532">
        <w:t xml:space="preserve">Účelem tohoto dotačního programu </w:t>
      </w:r>
      <w:r w:rsidR="00B93589" w:rsidRPr="00B93589">
        <w:t>Je podpořit pořádání akcí, které mají významný podíl na celkovém dění na území statutárního města Ostravy s místní i mezinárodní účastí sportovců i účastníků. Tyto akce jsou vysoce prestižní záležitostí a svým účelem přispívají k propagaci statutární města Ostravy.</w:t>
      </w:r>
    </w:p>
    <w:p w14:paraId="5C856B93" w14:textId="2C9D661D" w:rsidR="008A3B8D" w:rsidRDefault="008A3B8D" w:rsidP="008A3B8D">
      <w:pPr>
        <w:pStyle w:val="Nadpis1"/>
        <w:ind w:left="709" w:hanging="709"/>
      </w:pPr>
      <w:r>
        <w:t>Základní informace</w:t>
      </w:r>
    </w:p>
    <w:p w14:paraId="7D0E3362" w14:textId="13AE9935" w:rsidR="008A3B8D" w:rsidRPr="000D5532" w:rsidRDefault="008A3B8D" w:rsidP="008A3B8D">
      <w:pPr>
        <w:tabs>
          <w:tab w:val="left" w:pos="6237"/>
        </w:tabs>
        <w:spacing w:after="0"/>
        <w:contextualSpacing/>
        <w:jc w:val="both"/>
      </w:pPr>
      <w:r w:rsidRPr="000D5532">
        <w:t xml:space="preserve">Předpokládaný </w:t>
      </w:r>
      <w:r w:rsidRPr="000F2E5B">
        <w:t xml:space="preserve">objem finančních prostředků: </w:t>
      </w:r>
      <w:r w:rsidRPr="000F2E5B">
        <w:tab/>
      </w:r>
      <w:r w:rsidR="000F2E5B" w:rsidRPr="000F2E5B">
        <w:t>8 000</w:t>
      </w:r>
      <w:r w:rsidRPr="000F2E5B">
        <w:t xml:space="preserve"> 000 Kč</w:t>
      </w:r>
    </w:p>
    <w:p w14:paraId="24D6281F" w14:textId="439A70E1" w:rsidR="008A3B8D" w:rsidRPr="000D5532" w:rsidRDefault="008A3B8D" w:rsidP="008A3B8D">
      <w:pPr>
        <w:tabs>
          <w:tab w:val="left" w:pos="6237"/>
        </w:tabs>
        <w:spacing w:after="0"/>
        <w:contextualSpacing/>
        <w:jc w:val="both"/>
      </w:pPr>
      <w:r w:rsidRPr="000D5532">
        <w:t xml:space="preserve">Minimální výše dotace na jeden projekt: </w:t>
      </w:r>
      <w:r w:rsidRPr="000D5532">
        <w:tab/>
      </w:r>
      <w:r w:rsidR="006C1E80">
        <w:t>10</w:t>
      </w:r>
      <w:r w:rsidR="006C1E80" w:rsidRPr="000D5532">
        <w:t xml:space="preserve"> </w:t>
      </w:r>
      <w:r w:rsidRPr="000D5532">
        <w:t>000 Kč</w:t>
      </w:r>
    </w:p>
    <w:p w14:paraId="46CDE7EE" w14:textId="4D90B5C7" w:rsidR="008A3B8D" w:rsidRPr="000D5532" w:rsidRDefault="008A3B8D" w:rsidP="008A3B8D">
      <w:pPr>
        <w:tabs>
          <w:tab w:val="left" w:pos="6237"/>
        </w:tabs>
        <w:spacing w:after="0"/>
        <w:contextualSpacing/>
        <w:jc w:val="both"/>
      </w:pPr>
      <w:r w:rsidRPr="000D5532">
        <w:t xml:space="preserve">Maximální výše dotace na jeden projekt: </w:t>
      </w:r>
      <w:r w:rsidRPr="000D5532">
        <w:tab/>
      </w:r>
      <w:r w:rsidR="006C1E80">
        <w:t>5 000</w:t>
      </w:r>
      <w:r w:rsidR="006C1E80" w:rsidRPr="000D5532">
        <w:t xml:space="preserve"> </w:t>
      </w:r>
      <w:r w:rsidRPr="000D5532">
        <w:t>000 Kč</w:t>
      </w:r>
    </w:p>
    <w:p w14:paraId="644777EA" w14:textId="1C64CB2F" w:rsidR="008A3B8D" w:rsidRPr="000D5532" w:rsidRDefault="008A3B8D" w:rsidP="008A3B8D">
      <w:pPr>
        <w:tabs>
          <w:tab w:val="left" w:pos="6237"/>
        </w:tabs>
        <w:spacing w:after="0"/>
        <w:contextualSpacing/>
        <w:jc w:val="both"/>
      </w:pPr>
      <w:r w:rsidRPr="000D5532">
        <w:t xml:space="preserve">Lhůta pro podání žádosti: </w:t>
      </w:r>
      <w:r w:rsidRPr="000D5532">
        <w:tab/>
      </w:r>
      <w:r w:rsidR="00B96B35" w:rsidRPr="00066218">
        <w:t>od 27.9. 2021 do 08. 10. 2021</w:t>
      </w:r>
    </w:p>
    <w:p w14:paraId="2D633AE8" w14:textId="7A691D19" w:rsidR="008A3B8D" w:rsidRPr="000D5532" w:rsidRDefault="008A3B8D" w:rsidP="008A3B8D">
      <w:pPr>
        <w:tabs>
          <w:tab w:val="left" w:pos="6237"/>
        </w:tabs>
        <w:spacing w:after="0"/>
        <w:contextualSpacing/>
        <w:jc w:val="both"/>
      </w:pPr>
      <w:r w:rsidRPr="000D5532">
        <w:t xml:space="preserve">Lhůta pro rozhodnutí o žádosti: </w:t>
      </w:r>
      <w:r w:rsidRPr="000D5532">
        <w:tab/>
        <w:t>do 06/2022</w:t>
      </w:r>
    </w:p>
    <w:p w14:paraId="2D8E2EBC" w14:textId="0FC6F531" w:rsidR="00782257" w:rsidRDefault="00782257" w:rsidP="008A3B8D">
      <w:pPr>
        <w:tabs>
          <w:tab w:val="left" w:pos="6237"/>
        </w:tabs>
        <w:spacing w:after="0"/>
        <w:contextualSpacing/>
        <w:jc w:val="both"/>
      </w:pPr>
      <w:r w:rsidRPr="000D5532">
        <w:t>Kód dotačního programu:</w:t>
      </w:r>
      <w:r w:rsidRPr="000D5532">
        <w:tab/>
      </w:r>
      <w:proofErr w:type="spellStart"/>
      <w:r w:rsidRPr="000D5532">
        <w:t>ŠaS</w:t>
      </w:r>
      <w:proofErr w:type="spellEnd"/>
      <w:r w:rsidRPr="000D5532">
        <w:t>/</w:t>
      </w:r>
      <w:r w:rsidR="00181047" w:rsidRPr="000D5532">
        <w:t>AKCE</w:t>
      </w:r>
    </w:p>
    <w:p w14:paraId="20B7EE0B" w14:textId="77777777" w:rsidR="00230C87" w:rsidRDefault="00230C87" w:rsidP="00DD3CF9">
      <w:pPr>
        <w:pStyle w:val="Nadpis1"/>
        <w:ind w:left="709" w:hanging="709"/>
      </w:pPr>
      <w:r>
        <w:t>Okruh způsobilých žadatelů</w:t>
      </w:r>
    </w:p>
    <w:p w14:paraId="4B33EA12" w14:textId="3375DA97" w:rsidR="00230C87" w:rsidRDefault="000D5532" w:rsidP="007308FF">
      <w:pPr>
        <w:jc w:val="both"/>
      </w:pPr>
      <w:r>
        <w:t>D</w:t>
      </w:r>
      <w:r w:rsidR="00181047" w:rsidRPr="00181047">
        <w:t>otační program určen pro právnické osoby, které zajišťují v roce 202</w:t>
      </w:r>
      <w:r w:rsidR="00181047">
        <w:t>2</w:t>
      </w:r>
      <w:r w:rsidR="00181047" w:rsidRPr="00181047">
        <w:t xml:space="preserve"> na území </w:t>
      </w:r>
      <w:r w:rsidR="00181047">
        <w:t>Statutárního města Ostravy</w:t>
      </w:r>
      <w:r w:rsidR="00181047" w:rsidRPr="00181047">
        <w:t xml:space="preserve"> pořádání významných sportovních akcí.</w:t>
      </w:r>
    </w:p>
    <w:p w14:paraId="5A37F4E3" w14:textId="0172E536" w:rsidR="00181047" w:rsidRPr="00213DF6" w:rsidRDefault="00181047" w:rsidP="007308FF">
      <w:pPr>
        <w:jc w:val="both"/>
      </w:pPr>
      <w:r w:rsidRPr="00181047">
        <w:t xml:space="preserve">Žadatel (právnická osoba) musí v době podání žádosti existovat nejméně </w:t>
      </w:r>
      <w:r w:rsidR="0025695F">
        <w:t>jeden</w:t>
      </w:r>
      <w:r w:rsidRPr="00181047">
        <w:t xml:space="preserve"> rok</w:t>
      </w:r>
      <w:r w:rsidR="0025695F">
        <w:t>.</w:t>
      </w:r>
      <w:r w:rsidRPr="00181047">
        <w:t xml:space="preserve"> Příjemcem dotace nemůže být obchodní společnost, ve které veřejný funkcionář uvedený v § 2 odst. 1 písm. c) zákona č. 159/2006 Sb., o střetu zájmů, ve znění pozdějších předpisů, nebo jím ovládaná osoba vlastní podíl představující alespoň 25 % účasti společníka v obchodní společnosti.</w:t>
      </w:r>
    </w:p>
    <w:p w14:paraId="6FEAD41B" w14:textId="77777777" w:rsidR="00482B35" w:rsidRDefault="00482B35" w:rsidP="00482B35">
      <w:pPr>
        <w:pStyle w:val="Nadpis1"/>
        <w:ind w:left="709" w:hanging="709"/>
      </w:pPr>
      <w:r w:rsidRPr="005254FB">
        <w:t>Lokalizace programu</w:t>
      </w:r>
    </w:p>
    <w:p w14:paraId="1ED81209" w14:textId="762F0D54" w:rsidR="00482B35" w:rsidRPr="00482B35" w:rsidRDefault="00482B35" w:rsidP="00A12087">
      <w:pPr>
        <w:jc w:val="both"/>
      </w:pPr>
      <w:r w:rsidRPr="00482B35">
        <w:t>Příjemce dotace je povinen projekt realizovat na území statutárního města Ostravy (tzn. městských obvodů) nebo mimo něj s tím, že výstupy realizovaného projektu budou v maximální výši využity na jeho území a významně přispějí k propagaci města.</w:t>
      </w:r>
      <w:r w:rsidR="003B7BDC">
        <w:t xml:space="preserve"> Projektem je myšlena jednorázová akce (trvající max. 1 – 14 dní), nikoliv série celoročních turnajů</w:t>
      </w:r>
      <w:r w:rsidR="00B93589">
        <w:t xml:space="preserve">, </w:t>
      </w:r>
      <w:r w:rsidR="00B93589" w:rsidRPr="00B93589">
        <w:t>resp. dlouhodobé soutěže</w:t>
      </w:r>
      <w:r w:rsidR="003B7BDC">
        <w:t>.</w:t>
      </w:r>
    </w:p>
    <w:p w14:paraId="48FA2CEA" w14:textId="77777777" w:rsidR="00F776FD" w:rsidRDefault="00F776FD" w:rsidP="008A3B8D">
      <w:pPr>
        <w:pStyle w:val="Nadpis1"/>
        <w:ind w:hanging="720"/>
      </w:pPr>
      <w:r w:rsidRPr="005254FB">
        <w:t>Podmínky pro poskytování dotací</w:t>
      </w:r>
    </w:p>
    <w:p w14:paraId="4099ED84" w14:textId="40B1F47C" w:rsidR="00F776FD" w:rsidRDefault="00F776FD" w:rsidP="00AC1F70">
      <w:pPr>
        <w:pStyle w:val="Odstavecseseznamem"/>
        <w:numPr>
          <w:ilvl w:val="0"/>
          <w:numId w:val="11"/>
        </w:numPr>
        <w:ind w:hanging="720"/>
        <w:contextualSpacing w:val="0"/>
        <w:jc w:val="both"/>
      </w:pPr>
      <w:r>
        <w:t xml:space="preserve">Předpokladem poskytnutí peněžních prostředků je vyrovnání veškerých závazků žadatele ke dni podání žádosti vůči statutárnímu městu Ostrava a městským obvodům, příspěvkovým organizacím jimi zřízenými a obchodním společnostem s jejich majetkovou účastí, řádně a včas předložené závěrečné vyúčtování předchozí dotace v rámci programu </w:t>
      </w:r>
      <w:proofErr w:type="spellStart"/>
      <w:r>
        <w:t>ŠaS</w:t>
      </w:r>
      <w:proofErr w:type="spellEnd"/>
      <w:r>
        <w:t>/TV 202</w:t>
      </w:r>
      <w:r w:rsidR="00417396">
        <w:t>1</w:t>
      </w:r>
      <w:r>
        <w:t xml:space="preserve"> a bezdlužnost žadatele v rozsahu vymezeném v jeho čestném prohlášení (text čestného </w:t>
      </w:r>
      <w:r>
        <w:lastRenderedPageBreak/>
        <w:t>prohlášení žadatel podepisuje na konci formuláře žádosti). Tyto skutečnosti mohou být následně prověřovány administrátorem programu v rámci kontroly formálních náležitostí předložené žádosti.</w:t>
      </w:r>
    </w:p>
    <w:p w14:paraId="6C39B8FE" w14:textId="77777777" w:rsidR="00F776FD" w:rsidRDefault="00F776FD" w:rsidP="00AC1F70">
      <w:pPr>
        <w:pStyle w:val="Odstavecseseznamem"/>
        <w:numPr>
          <w:ilvl w:val="0"/>
          <w:numId w:val="11"/>
        </w:numPr>
        <w:ind w:left="709" w:hanging="709"/>
        <w:contextualSpacing w:val="0"/>
        <w:jc w:val="both"/>
      </w:pPr>
      <w:r>
        <w:t>Součástí žádosti je čestné prohlášení žadatele, že ke dni podání žádosti nemá v evidenci daní zachyceny daňové nedoplatky, a to jak v České republice, tak v zemi sídla žadatele, že nemá nedoplatek na pojistném na veřejném zdravotním pojištění, a to jak v České republice, tak v zemi sídla žadatele a že nemá nedoplatek na pojistném na sociálním zabezpečení a příspěvku na státní politiku zaměstnanosti, a to jak v České republice, tak v zemi sídla žadatele (text čestného prohlášení žadatel podepisuje na konci formuláře žádosti). V případě, že bude žadatel poskytovatelem vyzván, je povinen doložit originál dokumentů nebo jejich ověřenou kopii prokazující pravdivost výše uvedeného čestného prohlášení.</w:t>
      </w:r>
    </w:p>
    <w:p w14:paraId="7D7AD285" w14:textId="77777777" w:rsidR="00F776FD" w:rsidRDefault="00F776FD" w:rsidP="00AC1F70">
      <w:pPr>
        <w:pStyle w:val="Odstavecseseznamem"/>
        <w:numPr>
          <w:ilvl w:val="0"/>
          <w:numId w:val="11"/>
        </w:numPr>
        <w:ind w:left="709" w:hanging="709"/>
        <w:contextualSpacing w:val="0"/>
        <w:jc w:val="both"/>
      </w:pPr>
      <w:r>
        <w:t>Dotace bude poskytnuta na základě oboustranně podepsané písemné veřejnoprávní smlouvy o poskytnutí dotace z rozpočtu statutárního města Ostravy (dále jen "smlouva"). Poskytnutí dotace je podmíněno povinností příjemce předložit ke dni podpisu smlouvy administrátorovi dotace k ověření - nejpozději však do šesti měsíců od rozhodnutí zastupitelstva města o poskytnutí dotace - originály nebo úředně ověřené kopie originálů dokladů ne starších tří měsíců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splátkování se považují za vypořádané nedoplatky).</w:t>
      </w:r>
    </w:p>
    <w:p w14:paraId="6BEB2808" w14:textId="1F9C981A" w:rsidR="00F776FD" w:rsidRDefault="00F776FD" w:rsidP="00AC1F70">
      <w:pPr>
        <w:pStyle w:val="Odstavecseseznamem"/>
        <w:numPr>
          <w:ilvl w:val="0"/>
          <w:numId w:val="11"/>
        </w:numPr>
        <w:ind w:left="709" w:hanging="709"/>
        <w:contextualSpacing w:val="0"/>
        <w:jc w:val="both"/>
      </w:pPr>
      <w:r>
        <w:t xml:space="preserve">Předložení dokladů uvedených v odst. 3 tohoto článku není vyžadováno u příjemců, kterým nevzniká zákonná povinnost plnit skutečnosti, jejichž potvrzení je vyžadováno. V takovém případě příjemce skutečnost potvrdí čestným </w:t>
      </w:r>
      <w:r w:rsidRPr="001753B8">
        <w:t xml:space="preserve">prohlášením dle přílohy č. </w:t>
      </w:r>
      <w:r w:rsidR="001753B8" w:rsidRPr="001753B8">
        <w:t>5</w:t>
      </w:r>
      <w:r>
        <w:t xml:space="preserve"> programu (k dispozici na webových stránkách města).</w:t>
      </w:r>
    </w:p>
    <w:p w14:paraId="376BB484" w14:textId="6073A1BF" w:rsidR="00F776FD" w:rsidRDefault="00F776FD" w:rsidP="00AC1F70">
      <w:pPr>
        <w:pStyle w:val="Odstavecseseznamem"/>
        <w:numPr>
          <w:ilvl w:val="0"/>
          <w:numId w:val="11"/>
        </w:numPr>
        <w:ind w:left="709" w:hanging="709"/>
        <w:contextualSpacing w:val="0"/>
        <w:jc w:val="both"/>
      </w:pPr>
      <w:r>
        <w:t>V případě, že příjemce nedoloží doklady podle odst. 3 tohoto článku ve stanovené lhůtě nebo z předložených dokladů nebo zjištění administrátora vyplyne, že u předmětných orgánů nebo města má nesplacené závazky po lhůtě splatnosti, nebude s ním smlouva uzavřena a dotace mu nebude poskytnuta.</w:t>
      </w:r>
    </w:p>
    <w:p w14:paraId="4F1117F1" w14:textId="6D33387B" w:rsidR="006C1E80" w:rsidRDefault="006C1E80" w:rsidP="00AC1F70">
      <w:pPr>
        <w:pStyle w:val="Odstavecseseznamem"/>
        <w:numPr>
          <w:ilvl w:val="0"/>
          <w:numId w:val="11"/>
        </w:numPr>
        <w:ind w:left="709" w:hanging="709"/>
        <w:contextualSpacing w:val="0"/>
        <w:jc w:val="both"/>
      </w:pPr>
      <w:r>
        <w:t>V případě, že výše poskytnuté dotace přesáhne částku 300 tis Kč, je příjemce dotace povinen smlouvu uzavřít v elektronické podobě prostřednictvím elektronického podpisu (§ 6 zákona č. 297/2016 Sb., o službách vytvářejících důvěru pro elektronické transakce, ve znění pozdějších předpisů)</w:t>
      </w:r>
    </w:p>
    <w:p w14:paraId="39F8FE4D" w14:textId="2BB74F5F" w:rsidR="00F776FD" w:rsidRDefault="00F776FD" w:rsidP="00AC1F70">
      <w:pPr>
        <w:pStyle w:val="Odstavecseseznamem"/>
        <w:numPr>
          <w:ilvl w:val="0"/>
          <w:numId w:val="11"/>
        </w:numPr>
        <w:ind w:left="709" w:hanging="709"/>
        <w:contextualSpacing w:val="0"/>
        <w:jc w:val="both"/>
      </w:pPr>
      <w:r>
        <w:t xml:space="preserve">Dotaci nelze poskytnout, pokud by jejím poskytnutím byla překročena hranice podpory de minimis ve výši stanovené nařízením Komise EU, účinným v době poskytnutí dotace (v době vyhlášení Programu platí pro </w:t>
      </w:r>
      <w:r w:rsidRPr="00F540C5">
        <w:t xml:space="preserve">období let 2014 – 2020 nařízení </w:t>
      </w:r>
      <w:r>
        <w:t>Komise (EU) č. 1407/2013 ze dne 18. 12. 2013 o použití článku 107 a 108 Smlouvy o fungování Evropské unie na podporu de minimis, jímž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p>
    <w:p w14:paraId="20409B5A" w14:textId="77777777" w:rsidR="0028638B" w:rsidRDefault="0028638B" w:rsidP="0028638B">
      <w:pPr>
        <w:pStyle w:val="Nadpis1"/>
        <w:ind w:left="709" w:hanging="709"/>
      </w:pPr>
      <w:r w:rsidRPr="00BD4DD3">
        <w:t>Uznatelné náklady projektu</w:t>
      </w:r>
    </w:p>
    <w:p w14:paraId="69949B31" w14:textId="77777777" w:rsidR="0028638B" w:rsidRDefault="0028638B" w:rsidP="00C31B21">
      <w:pPr>
        <w:pStyle w:val="Odstavecseseznamem"/>
        <w:numPr>
          <w:ilvl w:val="0"/>
          <w:numId w:val="16"/>
        </w:numPr>
      </w:pPr>
      <w:r w:rsidRPr="0028638B">
        <w:t>Uznatelným nákladem projektu, tedy nákladem, který lze v rámci realizace projektu spolufinancovat z dotace poskytovatele, je náklad, který splňuje všechny níže uvedené podmínky:</w:t>
      </w:r>
    </w:p>
    <w:p w14:paraId="05129C4B" w14:textId="77777777" w:rsidR="0028638B" w:rsidRDefault="0028638B" w:rsidP="006D0BB6">
      <w:pPr>
        <w:pStyle w:val="Odstavecseseznamem"/>
        <w:numPr>
          <w:ilvl w:val="1"/>
          <w:numId w:val="16"/>
        </w:numPr>
        <w:jc w:val="both"/>
      </w:pPr>
      <w:r>
        <w:t>vznikl příjemci v období realizace projektu a současně se k tomuto období vztahuje (s výjimkou nákladů spojených s úhradou účasti v soutěžích přesahujících do následujícího kalendářního roku);</w:t>
      </w:r>
    </w:p>
    <w:p w14:paraId="36029588" w14:textId="77777777" w:rsidR="0028638B" w:rsidRDefault="0028638B" w:rsidP="006D0BB6">
      <w:pPr>
        <w:pStyle w:val="Odstavecseseznamem"/>
        <w:numPr>
          <w:ilvl w:val="1"/>
          <w:numId w:val="16"/>
        </w:numPr>
        <w:jc w:val="both"/>
      </w:pPr>
      <w:r>
        <w:lastRenderedPageBreak/>
        <w:t>byl uhrazen nejpozději před uplynutím lhůty pro předložení závěrečného vyúčtování;</w:t>
      </w:r>
    </w:p>
    <w:p w14:paraId="1C2F434C" w14:textId="77777777" w:rsidR="0028638B" w:rsidRDefault="0028638B" w:rsidP="006D0BB6">
      <w:pPr>
        <w:pStyle w:val="Odstavecseseznamem"/>
        <w:numPr>
          <w:ilvl w:val="1"/>
          <w:numId w:val="16"/>
        </w:numPr>
        <w:jc w:val="both"/>
      </w:pPr>
      <w:r>
        <w:t>vznikl na základě účetního dokladu v minimální výši 1 000 Kč (v případě, že výše poskytnuté dotace přesáhne částku 500.000,- Kč);</w:t>
      </w:r>
    </w:p>
    <w:p w14:paraId="5C35799F" w14:textId="7885C287" w:rsidR="0028638B" w:rsidRDefault="00990025" w:rsidP="006D0BB6">
      <w:pPr>
        <w:pStyle w:val="Odstavecseseznamem"/>
        <w:numPr>
          <w:ilvl w:val="1"/>
          <w:numId w:val="16"/>
        </w:numPr>
        <w:jc w:val="both"/>
      </w:pPr>
      <w:r>
        <w:t>byl vynaložen v souladu s projektem, účelovým určením tohoto dotačního programu a podmínkami smlouvy;</w:t>
      </w:r>
    </w:p>
    <w:p w14:paraId="0A87BFC0" w14:textId="77777777" w:rsidR="0028638B" w:rsidRDefault="0028638B" w:rsidP="006D0BB6">
      <w:pPr>
        <w:pStyle w:val="Odstavecseseznamem"/>
        <w:numPr>
          <w:ilvl w:val="1"/>
          <w:numId w:val="16"/>
        </w:numPr>
        <w:jc w:val="both"/>
      </w:pPr>
      <w:r>
        <w:t>vyhovuje zásadám účelnosti, efektivnosti a hospodárnosti dle zákona č. 320/2001 Sb., o finanční kontrole ve veřejné správě a o změně některých zákonů (zákon o finanční kontrole), ve znění pozdějších předpisů;</w:t>
      </w:r>
    </w:p>
    <w:p w14:paraId="14D3ED50" w14:textId="77777777" w:rsidR="0028638B" w:rsidRDefault="0028638B" w:rsidP="006D0BB6">
      <w:pPr>
        <w:pStyle w:val="Odstavecseseznamem"/>
        <w:numPr>
          <w:ilvl w:val="1"/>
          <w:numId w:val="16"/>
        </w:numPr>
        <w:jc w:val="both"/>
      </w:pPr>
      <w:r>
        <w:t>je náklad (účetní doklad), který v rámci finančního vypořádání projektu není v plné výši duplicitně uplatněn ve finančním vypořádání u jiného poskytovatele či u jiné dotace poskytnuté statutárním městem;</w:t>
      </w:r>
    </w:p>
    <w:p w14:paraId="2143D142" w14:textId="4A943512" w:rsidR="0028638B" w:rsidRDefault="0028638B" w:rsidP="006B1BB1">
      <w:pPr>
        <w:pStyle w:val="Odstavecseseznamem"/>
        <w:numPr>
          <w:ilvl w:val="1"/>
          <w:numId w:val="16"/>
        </w:numPr>
        <w:ind w:left="788" w:hanging="431"/>
        <w:contextualSpacing w:val="0"/>
        <w:jc w:val="both"/>
      </w:pPr>
      <w:r w:rsidRPr="00823F2D">
        <w:t>je uveden v rozpočtu projektu.</w:t>
      </w:r>
    </w:p>
    <w:p w14:paraId="26410C00" w14:textId="2897DA8C" w:rsidR="00213DF6" w:rsidRDefault="007F6F97" w:rsidP="00213DF6">
      <w:pPr>
        <w:pStyle w:val="Odstavecseseznamem"/>
        <w:numPr>
          <w:ilvl w:val="0"/>
          <w:numId w:val="16"/>
        </w:numPr>
        <w:rPr>
          <w:b/>
          <w:bCs/>
        </w:rPr>
      </w:pPr>
      <w:r>
        <w:rPr>
          <w:b/>
          <w:bCs/>
        </w:rPr>
        <w:t>Uznatelnými náklady jsou:</w:t>
      </w:r>
    </w:p>
    <w:p w14:paraId="748868D1" w14:textId="77777777" w:rsidR="000B66CA" w:rsidRPr="000B66CA" w:rsidRDefault="000B66CA"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sidRPr="000B66CA">
        <w:rPr>
          <w:rFonts w:eastAsia="Times New Roman" w:cstheme="minorHAnsi"/>
          <w:color w:val="000000"/>
          <w:lang w:eastAsia="cs-CZ"/>
        </w:rPr>
        <w:t>příprava sportoviště,</w:t>
      </w:r>
    </w:p>
    <w:p w14:paraId="7CF00566" w14:textId="7868E032" w:rsidR="007E63EE" w:rsidRPr="007E63EE" w:rsidRDefault="000B66CA" w:rsidP="007E63EE">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sidRPr="000B66CA">
        <w:rPr>
          <w:rFonts w:eastAsia="Times New Roman" w:cstheme="minorHAnsi"/>
          <w:color w:val="000000"/>
          <w:lang w:eastAsia="cs-CZ"/>
        </w:rPr>
        <w:t>technické zajištění akce</w:t>
      </w:r>
      <w:r w:rsidR="007E63EE">
        <w:rPr>
          <w:rFonts w:eastAsia="Times New Roman" w:cstheme="minorHAnsi"/>
          <w:color w:val="000000"/>
          <w:lang w:eastAsia="cs-CZ"/>
        </w:rPr>
        <w:t>, náklady na energie (v případě akce pořádané na sportovišti v majetku příjemce dotace)</w:t>
      </w:r>
      <w:r w:rsidRPr="000B66CA">
        <w:rPr>
          <w:rFonts w:eastAsia="Times New Roman" w:cstheme="minorHAnsi"/>
          <w:color w:val="000000"/>
          <w:lang w:eastAsia="cs-CZ"/>
        </w:rPr>
        <w:t>,</w:t>
      </w:r>
    </w:p>
    <w:p w14:paraId="56DDBC54" w14:textId="632C6D8C" w:rsidR="000B66CA" w:rsidRPr="000B66CA" w:rsidRDefault="000B66CA"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sidRPr="000B66CA">
        <w:rPr>
          <w:rFonts w:eastAsia="Times New Roman" w:cstheme="minorHAnsi"/>
          <w:color w:val="000000"/>
          <w:lang w:eastAsia="cs-CZ"/>
        </w:rPr>
        <w:t xml:space="preserve">nájem </w:t>
      </w:r>
      <w:r w:rsidR="00C80EE5">
        <w:rPr>
          <w:rFonts w:eastAsia="Times New Roman" w:cstheme="minorHAnsi"/>
          <w:color w:val="000000"/>
          <w:lang w:eastAsia="cs-CZ"/>
        </w:rPr>
        <w:t xml:space="preserve">a podnájem </w:t>
      </w:r>
      <w:r w:rsidRPr="000B66CA">
        <w:rPr>
          <w:rFonts w:eastAsia="Times New Roman" w:cstheme="minorHAnsi"/>
          <w:color w:val="000000"/>
          <w:lang w:eastAsia="cs-CZ"/>
        </w:rPr>
        <w:t xml:space="preserve">sportoviště včetně služeb s nájmem </w:t>
      </w:r>
      <w:r w:rsidR="00C80EE5">
        <w:rPr>
          <w:rFonts w:eastAsia="Times New Roman" w:cstheme="minorHAnsi"/>
          <w:color w:val="000000"/>
          <w:lang w:eastAsia="cs-CZ"/>
        </w:rPr>
        <w:t xml:space="preserve">a podnájmem </w:t>
      </w:r>
      <w:r w:rsidRPr="000B66CA">
        <w:rPr>
          <w:rFonts w:eastAsia="Times New Roman" w:cstheme="minorHAnsi"/>
          <w:color w:val="000000"/>
          <w:lang w:eastAsia="cs-CZ"/>
        </w:rPr>
        <w:t xml:space="preserve">spojených, nájem </w:t>
      </w:r>
      <w:r w:rsidR="00C80EE5">
        <w:rPr>
          <w:rFonts w:eastAsia="Times New Roman" w:cstheme="minorHAnsi"/>
          <w:color w:val="000000"/>
          <w:lang w:eastAsia="cs-CZ"/>
        </w:rPr>
        <w:t xml:space="preserve">a podnájem </w:t>
      </w:r>
      <w:r w:rsidRPr="000B66CA">
        <w:rPr>
          <w:rFonts w:eastAsia="Times New Roman" w:cstheme="minorHAnsi"/>
          <w:color w:val="000000"/>
          <w:lang w:eastAsia="cs-CZ"/>
        </w:rPr>
        <w:t xml:space="preserve">zázemí typu šatny, sociálního zařízení a služby s nájmem </w:t>
      </w:r>
      <w:r w:rsidR="00C80EE5">
        <w:rPr>
          <w:rFonts w:eastAsia="Times New Roman" w:cstheme="minorHAnsi"/>
          <w:color w:val="000000"/>
          <w:lang w:eastAsia="cs-CZ"/>
        </w:rPr>
        <w:t xml:space="preserve">a podnájmem </w:t>
      </w:r>
      <w:r w:rsidRPr="000B66CA">
        <w:rPr>
          <w:rFonts w:eastAsia="Times New Roman" w:cstheme="minorHAnsi"/>
          <w:color w:val="000000"/>
          <w:lang w:eastAsia="cs-CZ"/>
        </w:rPr>
        <w:t>spojené,</w:t>
      </w:r>
    </w:p>
    <w:p w14:paraId="4C5C12DE" w14:textId="505CCCB1" w:rsidR="00631C85" w:rsidRDefault="00631C85"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Pr>
          <w:rFonts w:eastAsia="Times New Roman" w:cstheme="minorHAnsi"/>
          <w:color w:val="000000"/>
          <w:lang w:eastAsia="cs-CZ"/>
        </w:rPr>
        <w:t>odměny z dohod (</w:t>
      </w:r>
      <w:proofErr w:type="spellStart"/>
      <w:r>
        <w:rPr>
          <w:rFonts w:eastAsia="Times New Roman" w:cstheme="minorHAnsi"/>
          <w:color w:val="000000"/>
          <w:lang w:eastAsia="cs-CZ"/>
        </w:rPr>
        <w:t>OOn</w:t>
      </w:r>
      <w:proofErr w:type="spellEnd"/>
      <w:r>
        <w:rPr>
          <w:rFonts w:eastAsia="Times New Roman" w:cstheme="minorHAnsi"/>
          <w:color w:val="000000"/>
          <w:lang w:eastAsia="cs-CZ"/>
        </w:rPr>
        <w:t xml:space="preserve"> – DPP, DPČ vč. zákonných</w:t>
      </w:r>
      <w:r w:rsidR="00DD2C69">
        <w:rPr>
          <w:rFonts w:eastAsia="Times New Roman" w:cstheme="minorHAnsi"/>
          <w:color w:val="000000"/>
          <w:lang w:eastAsia="cs-CZ"/>
        </w:rPr>
        <w:t xml:space="preserve"> </w:t>
      </w:r>
      <w:r>
        <w:rPr>
          <w:rFonts w:eastAsia="Times New Roman" w:cstheme="minorHAnsi"/>
          <w:color w:val="000000"/>
          <w:lang w:eastAsia="cs-CZ"/>
        </w:rPr>
        <w:t xml:space="preserve">odvodů), služby OSVČ) – </w:t>
      </w:r>
      <w:r w:rsidR="00DD2C69">
        <w:rPr>
          <w:rFonts w:eastAsia="Times New Roman" w:cstheme="minorHAnsi"/>
          <w:color w:val="000000"/>
          <w:lang w:eastAsia="cs-CZ"/>
        </w:rPr>
        <w:t xml:space="preserve">pořadatelů, </w:t>
      </w:r>
      <w:r>
        <w:rPr>
          <w:rFonts w:eastAsia="Times New Roman" w:cstheme="minorHAnsi"/>
          <w:color w:val="000000"/>
          <w:lang w:eastAsia="cs-CZ"/>
        </w:rPr>
        <w:t xml:space="preserve">rozhodčích, technických a organizačních pracovníků, zdravotníků, </w:t>
      </w:r>
      <w:proofErr w:type="spellStart"/>
      <w:r>
        <w:rPr>
          <w:rFonts w:eastAsia="Times New Roman" w:cstheme="minorHAnsi"/>
          <w:color w:val="000000"/>
          <w:lang w:eastAsia="cs-CZ"/>
        </w:rPr>
        <w:t>security</w:t>
      </w:r>
      <w:proofErr w:type="spellEnd"/>
      <w:r>
        <w:rPr>
          <w:rFonts w:eastAsia="Times New Roman" w:cstheme="minorHAnsi"/>
          <w:color w:val="000000"/>
          <w:lang w:eastAsia="cs-CZ"/>
        </w:rPr>
        <w:t>, úklid</w:t>
      </w:r>
      <w:r w:rsidR="00B93589">
        <w:rPr>
          <w:rFonts w:eastAsia="Times New Roman" w:cstheme="minorHAnsi"/>
          <w:color w:val="000000"/>
          <w:lang w:eastAsia="cs-CZ"/>
        </w:rPr>
        <w:t xml:space="preserve"> – </w:t>
      </w:r>
      <w:r w:rsidR="00C959CD">
        <w:rPr>
          <w:rFonts w:eastAsia="Times New Roman" w:cstheme="minorHAnsi"/>
          <w:color w:val="000000"/>
          <w:lang w:eastAsia="cs-CZ"/>
        </w:rPr>
        <w:t xml:space="preserve"> maximální hodinová sazba do 300kč/hod., </w:t>
      </w:r>
      <w:r w:rsidR="00B93589" w:rsidRPr="001659FE">
        <w:t>maximáln</w:t>
      </w:r>
      <w:r w:rsidR="00B93589">
        <w:t xml:space="preserve">ě však do </w:t>
      </w:r>
      <w:r w:rsidR="00B93589" w:rsidRPr="001659FE">
        <w:t>výše</w:t>
      </w:r>
      <w:r w:rsidR="00B93589" w:rsidRPr="00D31163">
        <w:t xml:space="preserve"> </w:t>
      </w:r>
      <w:r w:rsidR="00B93589">
        <w:t>4</w:t>
      </w:r>
      <w:r w:rsidR="00B93589" w:rsidRPr="00D31163">
        <w:t>0</w:t>
      </w:r>
      <w:r w:rsidR="00B93589" w:rsidRPr="001659FE">
        <w:t xml:space="preserve"> tis. Kč na osobu a měsíc</w:t>
      </w:r>
      <w:r w:rsidR="00DD2C69">
        <w:rPr>
          <w:rFonts w:eastAsia="Times New Roman" w:cstheme="minorHAnsi"/>
          <w:color w:val="000000"/>
          <w:lang w:eastAsia="cs-CZ"/>
        </w:rPr>
        <w:t>,</w:t>
      </w:r>
    </w:p>
    <w:p w14:paraId="3DBC6207" w14:textId="24E04868" w:rsidR="000B66CA" w:rsidRDefault="000B66CA"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sidRPr="000B66CA">
        <w:rPr>
          <w:rFonts w:eastAsia="Times New Roman" w:cstheme="minorHAnsi"/>
          <w:color w:val="000000"/>
          <w:lang w:eastAsia="cs-CZ"/>
        </w:rPr>
        <w:t>náklady na dopravu prokazatelně spojenou s realizací projektu,</w:t>
      </w:r>
    </w:p>
    <w:p w14:paraId="7FC85028" w14:textId="0B5AFFD3" w:rsidR="00B93589" w:rsidRPr="00B93589" w:rsidRDefault="001C5E7C"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Pr>
          <w:rFonts w:eastAsia="Times New Roman" w:cstheme="minorHAnsi"/>
          <w:color w:val="000000"/>
          <w:lang w:eastAsia="cs-CZ"/>
        </w:rPr>
        <w:t xml:space="preserve">internet, web, </w:t>
      </w:r>
      <w:proofErr w:type="spellStart"/>
      <w:r>
        <w:rPr>
          <w:rFonts w:eastAsia="Times New Roman" w:cstheme="minorHAnsi"/>
          <w:color w:val="000000"/>
          <w:lang w:eastAsia="cs-CZ"/>
        </w:rPr>
        <w:t>streaming</w:t>
      </w:r>
      <w:proofErr w:type="spellEnd"/>
      <w:r>
        <w:rPr>
          <w:rFonts w:eastAsia="Times New Roman" w:cstheme="minorHAnsi"/>
          <w:color w:val="000000"/>
          <w:lang w:eastAsia="cs-CZ"/>
        </w:rPr>
        <w:t xml:space="preserve">, </w:t>
      </w:r>
      <w:r w:rsidR="00B93589">
        <w:rPr>
          <w:rFonts w:eastAsia="Times New Roman" w:cstheme="minorHAnsi"/>
          <w:color w:val="000000"/>
          <w:lang w:eastAsia="cs-CZ"/>
        </w:rPr>
        <w:t>propagace akce (maximálně však 10% z poskytnuté dotace),</w:t>
      </w:r>
    </w:p>
    <w:p w14:paraId="1B27CA86" w14:textId="13428380" w:rsidR="001C5E7C" w:rsidRDefault="001C5E7C"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Pr>
          <w:rFonts w:eastAsia="Times New Roman" w:cstheme="minorHAnsi"/>
          <w:color w:val="000000"/>
          <w:lang w:eastAsia="cs-CZ"/>
        </w:rPr>
        <w:t>tiskové služby</w:t>
      </w:r>
      <w:r w:rsidR="00B93589">
        <w:rPr>
          <w:rFonts w:eastAsia="Times New Roman" w:cstheme="minorHAnsi"/>
          <w:color w:val="000000"/>
          <w:lang w:eastAsia="cs-CZ"/>
        </w:rPr>
        <w:t xml:space="preserve"> (maximálně však 10% z poskytnuté dotace)</w:t>
      </w:r>
      <w:r>
        <w:rPr>
          <w:rFonts w:eastAsia="Times New Roman" w:cstheme="minorHAnsi"/>
          <w:color w:val="000000"/>
          <w:lang w:eastAsia="cs-CZ"/>
        </w:rPr>
        <w:t>,</w:t>
      </w:r>
    </w:p>
    <w:p w14:paraId="2E10DA1E" w14:textId="6842C8E1" w:rsidR="00631C85" w:rsidRDefault="00631C85"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Pr>
          <w:rFonts w:eastAsia="Times New Roman" w:cstheme="minorHAnsi"/>
          <w:color w:val="000000"/>
          <w:lang w:eastAsia="cs-CZ"/>
        </w:rPr>
        <w:t>poplatky za účast v soutěžích, turnajích, startovné,</w:t>
      </w:r>
    </w:p>
    <w:p w14:paraId="69B3AF5A" w14:textId="3D14EA30" w:rsidR="00631C85" w:rsidRPr="000B66CA" w:rsidRDefault="00631C85" w:rsidP="00B93589">
      <w:pPr>
        <w:pStyle w:val="Odstavecseseznamem"/>
        <w:numPr>
          <w:ilvl w:val="1"/>
          <w:numId w:val="32"/>
        </w:numPr>
        <w:spacing w:before="100" w:beforeAutospacing="1" w:after="100" w:afterAutospacing="1"/>
        <w:ind w:left="851" w:hanging="491"/>
        <w:rPr>
          <w:rFonts w:eastAsia="Times New Roman" w:cstheme="minorHAnsi"/>
          <w:color w:val="000000"/>
          <w:lang w:eastAsia="cs-CZ"/>
        </w:rPr>
      </w:pPr>
      <w:r>
        <w:rPr>
          <w:rFonts w:eastAsia="Times New Roman" w:cstheme="minorHAnsi"/>
          <w:color w:val="000000"/>
          <w:lang w:eastAsia="cs-CZ"/>
        </w:rPr>
        <w:t>nákup sportovního materiálu a vybavení</w:t>
      </w:r>
      <w:r w:rsidR="001C5E7C">
        <w:rPr>
          <w:rFonts w:eastAsia="Times New Roman" w:cstheme="minorHAnsi"/>
          <w:color w:val="000000"/>
          <w:lang w:eastAsia="cs-CZ"/>
        </w:rPr>
        <w:t xml:space="preserve">, věcné ceny </w:t>
      </w:r>
      <w:r>
        <w:rPr>
          <w:rFonts w:eastAsia="Times New Roman" w:cstheme="minorHAnsi"/>
          <w:color w:val="000000"/>
          <w:lang w:eastAsia="cs-CZ"/>
        </w:rPr>
        <w:t>prokazatelně souvisejícím s konáním akce,</w:t>
      </w:r>
    </w:p>
    <w:p w14:paraId="64A8056C" w14:textId="74D32BC4" w:rsidR="000B66CA" w:rsidRPr="000B66CA" w:rsidRDefault="000B66CA" w:rsidP="00B93589">
      <w:pPr>
        <w:pStyle w:val="Odstavecseseznamem"/>
        <w:numPr>
          <w:ilvl w:val="1"/>
          <w:numId w:val="32"/>
        </w:numPr>
        <w:spacing w:before="100" w:beforeAutospacing="1" w:after="100" w:afterAutospacing="1"/>
        <w:ind w:left="851" w:hanging="491"/>
        <w:jc w:val="both"/>
        <w:rPr>
          <w:rFonts w:eastAsia="Times New Roman" w:cstheme="minorHAnsi"/>
          <w:color w:val="000000"/>
          <w:lang w:eastAsia="cs-CZ"/>
        </w:rPr>
      </w:pPr>
      <w:r w:rsidRPr="000B66CA">
        <w:rPr>
          <w:rFonts w:eastAsia="Times New Roman" w:cstheme="minorHAnsi"/>
          <w:color w:val="000000"/>
          <w:lang w:eastAsia="cs-CZ"/>
        </w:rPr>
        <w:t xml:space="preserve">náklady na </w:t>
      </w:r>
      <w:r w:rsidR="00BD0410">
        <w:rPr>
          <w:rFonts w:eastAsia="Times New Roman" w:cstheme="minorHAnsi"/>
          <w:color w:val="000000"/>
          <w:lang w:eastAsia="cs-CZ"/>
        </w:rPr>
        <w:t xml:space="preserve">stravování, </w:t>
      </w:r>
      <w:r w:rsidRPr="000B66CA">
        <w:rPr>
          <w:rFonts w:eastAsia="Times New Roman" w:cstheme="minorHAnsi"/>
          <w:color w:val="000000"/>
          <w:lang w:eastAsia="cs-CZ"/>
        </w:rPr>
        <w:t>ubytování včetně snídaně, je</w:t>
      </w:r>
      <w:r w:rsidR="00D22C3D">
        <w:rPr>
          <w:rFonts w:eastAsia="Times New Roman" w:cstheme="minorHAnsi"/>
          <w:color w:val="000000"/>
          <w:lang w:eastAsia="cs-CZ"/>
        </w:rPr>
        <w:t>-</w:t>
      </w:r>
      <w:r w:rsidRPr="000B66CA">
        <w:rPr>
          <w:rFonts w:eastAsia="Times New Roman" w:cstheme="minorHAnsi"/>
          <w:color w:val="000000"/>
          <w:lang w:eastAsia="cs-CZ"/>
        </w:rPr>
        <w:t>li snídaně součástí ceny ubytování (max. výše použité dotace 1.</w:t>
      </w:r>
      <w:r w:rsidR="001C5E7C">
        <w:rPr>
          <w:rFonts w:eastAsia="Times New Roman" w:cstheme="minorHAnsi"/>
          <w:color w:val="000000"/>
          <w:lang w:eastAsia="cs-CZ"/>
        </w:rPr>
        <w:t>5</w:t>
      </w:r>
      <w:r w:rsidR="001C5E7C" w:rsidRPr="000B66CA">
        <w:rPr>
          <w:rFonts w:eastAsia="Times New Roman" w:cstheme="minorHAnsi"/>
          <w:color w:val="000000"/>
          <w:lang w:eastAsia="cs-CZ"/>
        </w:rPr>
        <w:t xml:space="preserve">00 </w:t>
      </w:r>
      <w:r w:rsidRPr="000B66CA">
        <w:rPr>
          <w:rFonts w:eastAsia="Times New Roman" w:cstheme="minorHAnsi"/>
          <w:color w:val="000000"/>
          <w:lang w:eastAsia="cs-CZ"/>
        </w:rPr>
        <w:t>Kč na jednu osobu/</w:t>
      </w:r>
      <w:r w:rsidR="001C5E7C">
        <w:rPr>
          <w:rFonts w:eastAsia="Times New Roman" w:cstheme="minorHAnsi"/>
          <w:color w:val="000000"/>
          <w:lang w:eastAsia="cs-CZ"/>
        </w:rPr>
        <w:t>den</w:t>
      </w:r>
      <w:r w:rsidRPr="000B66CA">
        <w:rPr>
          <w:rFonts w:eastAsia="Times New Roman" w:cstheme="minorHAnsi"/>
          <w:color w:val="000000"/>
          <w:lang w:eastAsia="cs-CZ"/>
        </w:rPr>
        <w:t xml:space="preserve">), popř. náklady na </w:t>
      </w:r>
      <w:proofErr w:type="spellStart"/>
      <w:r w:rsidRPr="000B66CA">
        <w:rPr>
          <w:rFonts w:eastAsia="Times New Roman" w:cstheme="minorHAnsi"/>
          <w:color w:val="000000"/>
          <w:lang w:eastAsia="cs-CZ"/>
        </w:rPr>
        <w:t>entry</w:t>
      </w:r>
      <w:proofErr w:type="spellEnd"/>
      <w:r w:rsidRPr="000B66CA">
        <w:rPr>
          <w:rFonts w:eastAsia="Times New Roman" w:cstheme="minorHAnsi"/>
          <w:color w:val="000000"/>
          <w:lang w:eastAsia="cs-CZ"/>
        </w:rPr>
        <w:t xml:space="preserve"> </w:t>
      </w:r>
      <w:proofErr w:type="spellStart"/>
      <w:r w:rsidRPr="000B66CA">
        <w:rPr>
          <w:rFonts w:eastAsia="Times New Roman" w:cstheme="minorHAnsi"/>
          <w:color w:val="000000"/>
          <w:lang w:eastAsia="cs-CZ"/>
        </w:rPr>
        <w:t>fee</w:t>
      </w:r>
      <w:proofErr w:type="spellEnd"/>
      <w:r w:rsidRPr="000B66CA">
        <w:rPr>
          <w:rFonts w:eastAsia="Times New Roman" w:cstheme="minorHAnsi"/>
          <w:color w:val="000000"/>
          <w:lang w:eastAsia="cs-CZ"/>
        </w:rPr>
        <w:t xml:space="preserve"> poplatek, který v sobě zahrnuje mj. ubytování včetně snídaně (max. výše použité dotace 1.</w:t>
      </w:r>
      <w:r w:rsidR="001C5E7C">
        <w:rPr>
          <w:rFonts w:eastAsia="Times New Roman" w:cstheme="minorHAnsi"/>
          <w:color w:val="000000"/>
          <w:lang w:eastAsia="cs-CZ"/>
        </w:rPr>
        <w:t>5</w:t>
      </w:r>
      <w:r w:rsidR="001C5E7C" w:rsidRPr="000B66CA">
        <w:rPr>
          <w:rFonts w:eastAsia="Times New Roman" w:cstheme="minorHAnsi"/>
          <w:color w:val="000000"/>
          <w:lang w:eastAsia="cs-CZ"/>
        </w:rPr>
        <w:t xml:space="preserve">00 </w:t>
      </w:r>
      <w:r w:rsidRPr="000B66CA">
        <w:rPr>
          <w:rFonts w:eastAsia="Times New Roman" w:cstheme="minorHAnsi"/>
          <w:color w:val="000000"/>
          <w:lang w:eastAsia="cs-CZ"/>
        </w:rPr>
        <w:t xml:space="preserve">Kč na jednu osobu/den). Příjemce nemůže uplatnit náklady na </w:t>
      </w:r>
      <w:proofErr w:type="spellStart"/>
      <w:r w:rsidRPr="000B66CA">
        <w:rPr>
          <w:rFonts w:eastAsia="Times New Roman" w:cstheme="minorHAnsi"/>
          <w:color w:val="000000"/>
          <w:lang w:eastAsia="cs-CZ"/>
        </w:rPr>
        <w:t>entry</w:t>
      </w:r>
      <w:proofErr w:type="spellEnd"/>
      <w:r w:rsidRPr="000B66CA">
        <w:rPr>
          <w:rFonts w:eastAsia="Times New Roman" w:cstheme="minorHAnsi"/>
          <w:color w:val="000000"/>
          <w:lang w:eastAsia="cs-CZ"/>
        </w:rPr>
        <w:t xml:space="preserve"> </w:t>
      </w:r>
      <w:proofErr w:type="spellStart"/>
      <w:r w:rsidRPr="000B66CA">
        <w:rPr>
          <w:rFonts w:eastAsia="Times New Roman" w:cstheme="minorHAnsi"/>
          <w:color w:val="000000"/>
          <w:lang w:eastAsia="cs-CZ"/>
        </w:rPr>
        <w:t>fee</w:t>
      </w:r>
      <w:proofErr w:type="spellEnd"/>
      <w:r w:rsidRPr="000B66CA">
        <w:rPr>
          <w:rFonts w:eastAsia="Times New Roman" w:cstheme="minorHAnsi"/>
          <w:color w:val="000000"/>
          <w:lang w:eastAsia="cs-CZ"/>
        </w:rPr>
        <w:t xml:space="preserve"> poplatek, uplatnil-li náklady na ubytování a snídani samostatně</w:t>
      </w:r>
      <w:r w:rsidR="002C06CC">
        <w:rPr>
          <w:rFonts w:eastAsia="Times New Roman" w:cstheme="minorHAnsi"/>
          <w:color w:val="000000"/>
          <w:lang w:eastAsia="cs-CZ"/>
        </w:rPr>
        <w:t xml:space="preserve"> </w:t>
      </w:r>
      <w:r w:rsidR="002C06CC">
        <w:t>(</w:t>
      </w:r>
      <w:r w:rsidR="002C06CC" w:rsidRPr="000A2C18">
        <w:t>nelze použít na úhradu nákladů pro doprovod - rodinné příslušníky),</w:t>
      </w:r>
    </w:p>
    <w:p w14:paraId="562040D3" w14:textId="77777777" w:rsidR="00213DF6" w:rsidRPr="003C2685" w:rsidRDefault="00213DF6" w:rsidP="00213DF6">
      <w:pPr>
        <w:ind w:left="360"/>
        <w:jc w:val="both"/>
      </w:pPr>
      <w:r w:rsidRPr="001F11AF">
        <w:t>Daň z přidané hodnoty vztahující se k uznatelným nákladům je uznatelným nákladem, pokud příjemce není plátcem této daně nebo pokud mu nevzniká nárok na odpočet této daně.</w:t>
      </w:r>
    </w:p>
    <w:p w14:paraId="12A35EC4" w14:textId="77777777" w:rsidR="00E025D2" w:rsidRDefault="00E025D2" w:rsidP="00E025D2">
      <w:pPr>
        <w:pStyle w:val="Odstavecseseznamem"/>
        <w:numPr>
          <w:ilvl w:val="0"/>
          <w:numId w:val="16"/>
        </w:numPr>
        <w:rPr>
          <w:b/>
          <w:bCs/>
        </w:rPr>
      </w:pPr>
      <w:r>
        <w:rPr>
          <w:b/>
          <w:bCs/>
        </w:rPr>
        <w:t>Neuznatelné náklady</w:t>
      </w:r>
    </w:p>
    <w:p w14:paraId="15296AF3" w14:textId="0BDBB755" w:rsidR="00E025D2" w:rsidRPr="00E025D2" w:rsidRDefault="000B66CA" w:rsidP="00E025D2">
      <w:pPr>
        <w:ind w:left="360"/>
        <w:jc w:val="both"/>
        <w:rPr>
          <w:b/>
          <w:bCs/>
        </w:rPr>
      </w:pPr>
      <w:r w:rsidRPr="000B66CA">
        <w:t xml:space="preserve">Náklady vynaložené příjemcem, které nejsou jmenovitě uvedeny v odst. </w:t>
      </w:r>
      <w:r>
        <w:t>2</w:t>
      </w:r>
      <w:r w:rsidRPr="000B66CA">
        <w:t xml:space="preserve"> tohoto článku, jsou považovány za neuznatelné náklady, včetně finančních odměn hráčům, odměn za přestup hráčů a hostování a nákladů na zajištění doprovodu (např. rodinný příslušník).</w:t>
      </w:r>
    </w:p>
    <w:p w14:paraId="5A66402E" w14:textId="5E58F12E" w:rsidR="00352E48" w:rsidRDefault="00352E48" w:rsidP="0028638B">
      <w:pPr>
        <w:pStyle w:val="Nadpis1"/>
        <w:ind w:left="709" w:hanging="709"/>
      </w:pPr>
      <w:r w:rsidRPr="00BD4DD3">
        <w:t>Všeobecné podmínky pro předložení žádostí o dotaci</w:t>
      </w:r>
    </w:p>
    <w:p w14:paraId="1FB90572" w14:textId="0552BD06" w:rsidR="008F7EBE" w:rsidRDefault="008F7EBE" w:rsidP="008F7EBE">
      <w:pPr>
        <w:pStyle w:val="Odstavecseseznamem"/>
        <w:numPr>
          <w:ilvl w:val="0"/>
          <w:numId w:val="19"/>
        </w:numPr>
        <w:jc w:val="both"/>
      </w:pPr>
      <w:r w:rsidRPr="008F7EBE">
        <w:t>Žadatel musí v době podání žádosti existovat nejméně jeden rok s výjimkou sportovních subjektů, které vznikly z důvodu rozpadu nebo rozdělení již existujících organizací.</w:t>
      </w:r>
    </w:p>
    <w:p w14:paraId="522A39AA" w14:textId="4D84883C" w:rsidR="00017976" w:rsidRPr="00C959CD" w:rsidRDefault="00017976" w:rsidP="008F7EBE">
      <w:pPr>
        <w:pStyle w:val="Odstavecseseznamem"/>
        <w:numPr>
          <w:ilvl w:val="0"/>
          <w:numId w:val="19"/>
        </w:numPr>
        <w:jc w:val="both"/>
      </w:pPr>
      <w:r w:rsidRPr="00C959CD">
        <w:t xml:space="preserve">Žadatel je oprávněn předložit </w:t>
      </w:r>
      <w:r w:rsidR="00C959CD">
        <w:t>vždy jednu žádost na jednu akci.</w:t>
      </w:r>
      <w:r w:rsidRPr="00C959CD">
        <w:t xml:space="preserve"> </w:t>
      </w:r>
      <w:r w:rsidR="00C959CD">
        <w:t>Počet předložených žádostí není tímto programem omezen</w:t>
      </w:r>
    </w:p>
    <w:p w14:paraId="63311397" w14:textId="1CFD2BD2" w:rsidR="006C1E80" w:rsidRPr="008F7EBE" w:rsidRDefault="00582CDC" w:rsidP="008F7EBE">
      <w:pPr>
        <w:pStyle w:val="Odstavecseseznamem"/>
        <w:numPr>
          <w:ilvl w:val="0"/>
          <w:numId w:val="19"/>
        </w:numPr>
        <w:jc w:val="both"/>
      </w:pPr>
      <w:r>
        <w:t xml:space="preserve">Žadatel si je oprávněn požádat maximálně 50% z celkové výše uznatelných nákladů. </w:t>
      </w:r>
    </w:p>
    <w:p w14:paraId="26B440C3" w14:textId="505F5BA2" w:rsidR="008F7EBE" w:rsidRDefault="006C1E80" w:rsidP="006C1E80">
      <w:pPr>
        <w:pStyle w:val="Odstavecseseznamem"/>
        <w:numPr>
          <w:ilvl w:val="0"/>
          <w:numId w:val="19"/>
        </w:numPr>
        <w:jc w:val="both"/>
      </w:pPr>
      <w:r w:rsidRPr="006C1E80">
        <w:rPr>
          <w:b/>
          <w:bCs/>
        </w:rPr>
        <w:lastRenderedPageBreak/>
        <w:t>Žadatel předkládá žádost, kterou tvoří</w:t>
      </w:r>
      <w:r w:rsidRPr="006C1E80">
        <w:t xml:space="preserve"> </w:t>
      </w:r>
      <w:r w:rsidRPr="008F7EBE">
        <w:t xml:space="preserve">žádost o poskytnutí dotace </w:t>
      </w:r>
      <w:r>
        <w:t>(</w:t>
      </w:r>
      <w:r w:rsidRPr="008F7EBE">
        <w:t xml:space="preserve">formulář aplikace </w:t>
      </w:r>
      <w:proofErr w:type="spellStart"/>
      <w:r w:rsidRPr="008F7EBE">
        <w:t>EvAgend</w:t>
      </w:r>
      <w:proofErr w:type="spellEnd"/>
      <w:r>
        <w:t xml:space="preserve">) spolu </w:t>
      </w:r>
      <w:r w:rsidRPr="008F7EBE">
        <w:t>povinn</w:t>
      </w:r>
      <w:r>
        <w:t>ými</w:t>
      </w:r>
      <w:r w:rsidRPr="008F7EBE">
        <w:t xml:space="preserve"> příloh</w:t>
      </w:r>
      <w:r>
        <w:t>ami:</w:t>
      </w:r>
    </w:p>
    <w:p w14:paraId="4320D745" w14:textId="5F1E3A3B" w:rsidR="008723BB" w:rsidRPr="007F6F97" w:rsidRDefault="008723BB" w:rsidP="006C1E80">
      <w:pPr>
        <w:pStyle w:val="Odstavecseseznamem"/>
        <w:numPr>
          <w:ilvl w:val="1"/>
          <w:numId w:val="19"/>
        </w:numPr>
        <w:spacing w:line="276" w:lineRule="auto"/>
        <w:jc w:val="both"/>
        <w:rPr>
          <w:u w:val="single"/>
        </w:rPr>
      </w:pPr>
      <w:r w:rsidRPr="008723BB">
        <w:t>popis projektu</w:t>
      </w:r>
    </w:p>
    <w:p w14:paraId="6C2534EE" w14:textId="25D59696" w:rsidR="008F7EBE" w:rsidRPr="008F7EBE" w:rsidRDefault="008F7EBE" w:rsidP="006C1E80">
      <w:pPr>
        <w:pStyle w:val="Odstavecseseznamem"/>
        <w:numPr>
          <w:ilvl w:val="1"/>
          <w:numId w:val="19"/>
        </w:numPr>
        <w:spacing w:line="276" w:lineRule="auto"/>
        <w:jc w:val="both"/>
      </w:pPr>
      <w:r w:rsidRPr="008F7EBE">
        <w:t xml:space="preserve">čestné prohlášení k podpoře malého rozsahu - </w:t>
      </w:r>
      <w:proofErr w:type="spellStart"/>
      <w:r w:rsidRPr="008F7EBE">
        <w:t>de</w:t>
      </w:r>
      <w:r w:rsidR="00B42E8B">
        <w:t>minimis</w:t>
      </w:r>
      <w:proofErr w:type="spellEnd"/>
      <w:r w:rsidRPr="008F7EBE">
        <w:t>,</w:t>
      </w:r>
    </w:p>
    <w:p w14:paraId="6A6C8239" w14:textId="623F77FA" w:rsidR="008F7EBE" w:rsidRDefault="008F7EBE" w:rsidP="006C1E80">
      <w:pPr>
        <w:pStyle w:val="Odstavecseseznamem"/>
        <w:numPr>
          <w:ilvl w:val="1"/>
          <w:numId w:val="19"/>
        </w:numPr>
        <w:spacing w:line="276" w:lineRule="auto"/>
        <w:jc w:val="both"/>
      </w:pPr>
      <w:r w:rsidRPr="008F7EBE">
        <w:t>prostá kopie smlouvy o založení účtu u peněžního ústavu nebo písemné potvrzení peněžního ústavu o vedení běžného účtu žadatele</w:t>
      </w:r>
      <w:r w:rsidR="00B42E8B">
        <w:t>.</w:t>
      </w:r>
    </w:p>
    <w:p w14:paraId="37EA9879" w14:textId="06319ACC" w:rsidR="00C940C4" w:rsidRPr="008F7EBE" w:rsidRDefault="00C940C4" w:rsidP="006C1E80">
      <w:pPr>
        <w:pStyle w:val="Odstavecseseznamem"/>
        <w:numPr>
          <w:ilvl w:val="1"/>
          <w:numId w:val="19"/>
        </w:numPr>
        <w:spacing w:line="276" w:lineRule="auto"/>
        <w:jc w:val="both"/>
      </w:pPr>
      <w:r w:rsidRPr="00C940C4">
        <w:t>výpis z evidence skutečných majitelů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16D78986" w14:textId="77777777" w:rsidR="00BA05DA" w:rsidRDefault="00BA05DA" w:rsidP="00BA05DA">
      <w:pPr>
        <w:pStyle w:val="Odstavecseseznamem"/>
        <w:keepNext/>
        <w:numPr>
          <w:ilvl w:val="0"/>
          <w:numId w:val="19"/>
        </w:numPr>
        <w:spacing w:before="0" w:line="276" w:lineRule="auto"/>
        <w:jc w:val="both"/>
        <w:rPr>
          <w:b/>
          <w:bCs/>
        </w:rPr>
      </w:pPr>
      <w:r>
        <w:rPr>
          <w:b/>
          <w:bCs/>
        </w:rPr>
        <w:t>Pro řádné podání žádosti musí žadatel ve stanovené lhůtě:</w:t>
      </w:r>
    </w:p>
    <w:p w14:paraId="1A0FC087" w14:textId="77777777" w:rsidR="003D2CBC" w:rsidRPr="008F7EBE" w:rsidRDefault="003D2CBC" w:rsidP="003D2CBC">
      <w:pPr>
        <w:pStyle w:val="Odstavecseseznamem"/>
        <w:spacing w:before="0" w:line="276" w:lineRule="auto"/>
        <w:ind w:left="360"/>
        <w:jc w:val="both"/>
      </w:pPr>
      <w:r w:rsidRPr="008F7EBE">
        <w:t xml:space="preserve">Vyplnit elektronickou žádost o poskytnutí peněžních prostředků prostřednictvím elektronického formuláře aplikace </w:t>
      </w:r>
      <w:proofErr w:type="spellStart"/>
      <w:r w:rsidRPr="008F7EBE">
        <w:t>EvAgend</w:t>
      </w:r>
      <w:proofErr w:type="spellEnd"/>
      <w:r w:rsidRPr="008F7EBE">
        <w:t xml:space="preserve"> (příloha č. 1). Do této žádosti vložit povinné přílohy. Takto vyplněnou žádost je možné odeslat jedním z níže uvedených způsobů:</w:t>
      </w:r>
    </w:p>
    <w:p w14:paraId="6959CC57" w14:textId="77777777" w:rsidR="003D2CBC" w:rsidRPr="006B1BB1" w:rsidRDefault="003D2CBC" w:rsidP="003D2CBC">
      <w:pPr>
        <w:pStyle w:val="Odstavecseseznamem"/>
        <w:numPr>
          <w:ilvl w:val="1"/>
          <w:numId w:val="19"/>
        </w:numPr>
        <w:spacing w:before="0" w:line="276" w:lineRule="auto"/>
        <w:jc w:val="both"/>
      </w:pPr>
      <w:r w:rsidRPr="00482B35">
        <w:t>prostřednictvím odkazu na konci formuláře, kterým žádost opatřenou uznávaným nebo kvalifikovaným elektronickým podpisem (§ 6 zákona č. 297/2016 Sb., o službách vytvářejících důvěru pro elektronické transakce, ve znění pozdějších předpisů) spolu s přílohami odešle do databáze. Žádost musí být elektronicky podepsána všemi zástupci, vyplývá-li tak ze stanov nebo obdobného dokumentu žadatele. V případě, že žadatel disponuje elektronickým podpisem, je povinen upřednostnit tento způsob podání!</w:t>
      </w:r>
    </w:p>
    <w:p w14:paraId="35010284" w14:textId="77777777" w:rsidR="003D2CBC" w:rsidRPr="00482B35" w:rsidRDefault="003D2CBC" w:rsidP="003D2CBC">
      <w:pPr>
        <w:pStyle w:val="Odstavecseseznamem"/>
        <w:numPr>
          <w:ilvl w:val="1"/>
          <w:numId w:val="19"/>
        </w:numPr>
        <w:spacing w:line="276" w:lineRule="auto"/>
        <w:jc w:val="both"/>
      </w:pPr>
      <w:r w:rsidRPr="00482B35">
        <w:t>nebo prostřednictvím odkazu na konci formuláře, kterým žádost spolu s přílohami odešle do databáze. Následně odeslanou žádost vytiskne, podepíše a bez povinných příloh podá prostřednictvím provozovatele poštovních služeb nebo osobně na podatelně Magistrátu města Ostravy na tuto adresu:</w:t>
      </w:r>
    </w:p>
    <w:p w14:paraId="02CA64CA" w14:textId="77777777" w:rsidR="003D2CBC" w:rsidRPr="00482B35" w:rsidRDefault="003D2CBC" w:rsidP="003D2CBC">
      <w:pPr>
        <w:ind w:left="851"/>
        <w:textAlignment w:val="top"/>
        <w:rPr>
          <w:rFonts w:cstheme="minorHAnsi"/>
          <w:b/>
        </w:rPr>
      </w:pPr>
      <w:r w:rsidRPr="00482B35">
        <w:rPr>
          <w:rFonts w:cstheme="minorHAnsi"/>
          <w:b/>
        </w:rPr>
        <w:t>Magistrát města Ostravy</w:t>
      </w:r>
      <w:r w:rsidRPr="00482B35">
        <w:rPr>
          <w:rFonts w:eastAsia="Times New Roman" w:cstheme="minorHAnsi"/>
          <w:color w:val="231F20"/>
          <w:lang w:eastAsia="cs-CZ"/>
        </w:rPr>
        <w:br/>
      </w:r>
      <w:r w:rsidRPr="00482B35">
        <w:rPr>
          <w:rFonts w:cstheme="minorHAnsi"/>
          <w:b/>
        </w:rPr>
        <w:t>Prokešovo náměstí 8</w:t>
      </w:r>
      <w:r w:rsidRPr="00482B35">
        <w:rPr>
          <w:rFonts w:eastAsia="Times New Roman" w:cstheme="minorHAnsi"/>
          <w:color w:val="231F20"/>
          <w:lang w:eastAsia="cs-CZ"/>
        </w:rPr>
        <w:br/>
      </w:r>
      <w:r w:rsidRPr="00482B35">
        <w:rPr>
          <w:rFonts w:cstheme="minorHAnsi"/>
          <w:b/>
        </w:rPr>
        <w:t>729 30 Ostrava</w:t>
      </w:r>
    </w:p>
    <w:p w14:paraId="29893CE7" w14:textId="7EF4905E" w:rsidR="003D2CBC" w:rsidRDefault="003D2CBC" w:rsidP="003D2CBC">
      <w:pPr>
        <w:pStyle w:val="Odstavecseseznamem"/>
        <w:spacing w:after="0"/>
        <w:ind w:left="850"/>
        <w:jc w:val="both"/>
        <w:textAlignment w:val="top"/>
        <w:rPr>
          <w:rFonts w:eastAsia="Times New Roman" w:cstheme="minorHAnsi"/>
          <w:color w:val="231F20"/>
          <w:lang w:eastAsia="cs-CZ"/>
        </w:rPr>
      </w:pPr>
      <w:r w:rsidRPr="00482B35">
        <w:rPr>
          <w:rFonts w:eastAsia="Times New Roman" w:cstheme="minorHAnsi"/>
          <w:color w:val="231F20"/>
          <w:lang w:eastAsia="cs-CZ"/>
        </w:rPr>
        <w:t xml:space="preserve">a to </w:t>
      </w:r>
      <w:r w:rsidRPr="00482B35">
        <w:rPr>
          <w:rFonts w:eastAsia="Times New Roman" w:cstheme="minorHAnsi"/>
          <w:b/>
          <w:bCs/>
          <w:color w:val="231F20"/>
          <w:lang w:eastAsia="cs-CZ"/>
        </w:rPr>
        <w:t>v obálce označené</w:t>
      </w:r>
      <w:r w:rsidRPr="00482B35">
        <w:rPr>
          <w:rFonts w:eastAsia="Times New Roman" w:cstheme="minorHAnsi"/>
          <w:color w:val="231F20"/>
          <w:lang w:eastAsia="cs-CZ"/>
        </w:rPr>
        <w:t xml:space="preserve">: názvem a kódem příslušného vyhlášeného dotačního programu, plným názvem žadatele a adresou jeho sídla, textem </w:t>
      </w:r>
      <w:r w:rsidRPr="00482B35">
        <w:rPr>
          <w:rFonts w:eastAsia="Times New Roman" w:cstheme="minorHAnsi"/>
          <w:b/>
          <w:bCs/>
          <w:color w:val="231F20"/>
          <w:lang w:eastAsia="cs-CZ"/>
        </w:rPr>
        <w:t>"Neotvírat - žádost o dotaci"</w:t>
      </w:r>
      <w:r w:rsidRPr="00482B35">
        <w:rPr>
          <w:rFonts w:eastAsia="Times New Roman" w:cstheme="minorHAnsi"/>
          <w:color w:val="231F20"/>
          <w:lang w:eastAsia="cs-CZ"/>
        </w:rPr>
        <w:t>.</w:t>
      </w:r>
    </w:p>
    <w:p w14:paraId="07535220" w14:textId="03041AEB" w:rsidR="006C1E80" w:rsidRPr="00482B35" w:rsidRDefault="006C1E80" w:rsidP="003D2CBC">
      <w:pPr>
        <w:pStyle w:val="Odstavecseseznamem"/>
        <w:spacing w:after="0"/>
        <w:ind w:left="850"/>
        <w:jc w:val="both"/>
        <w:textAlignment w:val="top"/>
        <w:rPr>
          <w:rFonts w:eastAsia="Times New Roman" w:cstheme="minorHAnsi"/>
          <w:color w:val="231F20"/>
          <w:lang w:eastAsia="cs-CZ"/>
        </w:rPr>
      </w:pPr>
      <w:r>
        <w:rPr>
          <w:rFonts w:eastAsia="Times New Roman" w:cstheme="minorHAnsi"/>
          <w:color w:val="231F20"/>
          <w:lang w:eastAsia="cs-CZ"/>
        </w:rPr>
        <w:t xml:space="preserve">Podepsanou žádost o dotaci je možné odeslat prostřednictvím datové schránky </w:t>
      </w:r>
      <w:r w:rsidR="00D22C3D">
        <w:rPr>
          <w:rFonts w:eastAsia="Times New Roman" w:cstheme="minorHAnsi"/>
          <w:b/>
          <w:bCs/>
          <w:color w:val="231F20"/>
          <w:lang w:eastAsia="cs-CZ"/>
        </w:rPr>
        <w:t>DS</w:t>
      </w:r>
      <w:r w:rsidRPr="00D22C3D">
        <w:rPr>
          <w:rFonts w:eastAsia="Times New Roman" w:cstheme="minorHAnsi"/>
          <w:b/>
          <w:bCs/>
          <w:color w:val="231F20"/>
          <w:lang w:eastAsia="cs-CZ"/>
        </w:rPr>
        <w:t xml:space="preserve">:  </w:t>
      </w:r>
      <w:r w:rsidR="00D22C3D" w:rsidRPr="00D22C3D">
        <w:rPr>
          <w:rFonts w:eastAsia="Times New Roman" w:cstheme="minorHAnsi"/>
          <w:b/>
          <w:bCs/>
          <w:color w:val="231F20"/>
          <w:lang w:eastAsia="cs-CZ"/>
        </w:rPr>
        <w:t>5zubv7w</w:t>
      </w:r>
    </w:p>
    <w:p w14:paraId="24546409" w14:textId="77777777" w:rsidR="008F7EBE" w:rsidRPr="00991FC8" w:rsidRDefault="008F7EBE" w:rsidP="008F7EBE">
      <w:pPr>
        <w:pStyle w:val="Odstavecseseznamem"/>
        <w:spacing w:after="0"/>
        <w:ind w:left="785"/>
        <w:jc w:val="both"/>
        <w:textAlignment w:val="top"/>
        <w:rPr>
          <w:rFonts w:ascii="Arial" w:eastAsia="Times New Roman" w:hAnsi="Arial" w:cs="Arial"/>
          <w:color w:val="231F20"/>
          <w:sz w:val="12"/>
          <w:szCs w:val="12"/>
          <w:lang w:eastAsia="cs-CZ"/>
        </w:rPr>
      </w:pPr>
    </w:p>
    <w:p w14:paraId="548E85E9" w14:textId="6EF887ED" w:rsidR="008F7EBE" w:rsidRDefault="008F7EBE" w:rsidP="00BA05DA">
      <w:pPr>
        <w:pStyle w:val="Odstavecseseznamem"/>
        <w:numPr>
          <w:ilvl w:val="0"/>
          <w:numId w:val="19"/>
        </w:numPr>
        <w:ind w:left="357" w:hanging="357"/>
        <w:contextualSpacing w:val="0"/>
        <w:jc w:val="both"/>
      </w:pPr>
      <w:r w:rsidRPr="00482B35">
        <w:t>Žadatel v rámci podané žádosti čestně prohlašuje a svým podpisem stvrzuje, že všechny údaje, vložené přílohy a další poskytnuté informace v rámci podané žádosti pod zaslaným číslem kódu o odeslání žádosti jsou pravdivé.</w:t>
      </w:r>
    </w:p>
    <w:p w14:paraId="7AB410E9" w14:textId="77777777" w:rsidR="0028638B" w:rsidRDefault="008F7EBE" w:rsidP="00BA05DA">
      <w:pPr>
        <w:pStyle w:val="Odstavecseseznamem"/>
        <w:numPr>
          <w:ilvl w:val="0"/>
          <w:numId w:val="19"/>
        </w:numPr>
        <w:ind w:left="357" w:hanging="357"/>
        <w:contextualSpacing w:val="0"/>
        <w:jc w:val="both"/>
      </w:pPr>
      <w:r w:rsidRPr="00482B35">
        <w:t>Všechny došlé žádosti včetně jejich příloh se archivují a žadatelům se nevracejí.</w:t>
      </w:r>
    </w:p>
    <w:p w14:paraId="68F9AF9B" w14:textId="77777777" w:rsidR="00482B35" w:rsidRDefault="00482B35" w:rsidP="00BA05DA">
      <w:pPr>
        <w:pStyle w:val="Odstavecseseznamem"/>
        <w:numPr>
          <w:ilvl w:val="0"/>
          <w:numId w:val="19"/>
        </w:numPr>
        <w:ind w:left="357" w:hanging="357"/>
        <w:contextualSpacing w:val="0"/>
        <w:jc w:val="both"/>
      </w:pPr>
      <w:r w:rsidRPr="00482B35">
        <w:t>Před lhůtou stanovenou pro podávání žádostí si může žadatel sjednat s administrátorem konzultaci k podmínkám dotačního programu.</w:t>
      </w:r>
    </w:p>
    <w:p w14:paraId="518434DF" w14:textId="5E85A629" w:rsidR="007F6F97" w:rsidRDefault="007F6F97" w:rsidP="007F6F97">
      <w:pPr>
        <w:pStyle w:val="Nadpis1"/>
        <w:spacing w:after="240"/>
        <w:ind w:hanging="720"/>
      </w:pPr>
      <w:r>
        <w:lastRenderedPageBreak/>
        <w:t>Kritéria pro hodnocení žádostí</w:t>
      </w:r>
    </w:p>
    <w:p w14:paraId="48445C2B" w14:textId="02CE0B43" w:rsidR="00BB2D4A" w:rsidRPr="00BB2D4A" w:rsidRDefault="00BB2D4A" w:rsidP="00BB2D4A">
      <w:r w:rsidRPr="00BB2D4A">
        <w:t xml:space="preserve">Žádosti o dotaci budou po kontrole věcné a formální správnosti zpracování posuzovány po obsahové stránce </w:t>
      </w:r>
      <w:r>
        <w:t>příslušnou komisí rady města</w:t>
      </w:r>
      <w:r w:rsidRPr="00BB2D4A">
        <w:t>, zřízenou radou kraje, a to dle uvedených kritérií:</w:t>
      </w:r>
    </w:p>
    <w:p w14:paraId="390610FA" w14:textId="77777777" w:rsidR="00BB2D4A" w:rsidRDefault="00BB2D4A" w:rsidP="00BB2D4A">
      <w:pPr>
        <w:pStyle w:val="Odstavecseseznamem"/>
        <w:numPr>
          <w:ilvl w:val="1"/>
          <w:numId w:val="27"/>
        </w:numPr>
        <w:ind w:left="432"/>
      </w:pPr>
      <w:r>
        <w:t>Kritéria a v</w:t>
      </w:r>
      <w:r w:rsidRPr="00C8175B">
        <w:t>yhodnocování žádostí o dotaci</w:t>
      </w:r>
    </w:p>
    <w:p w14:paraId="38C61C17" w14:textId="77777777" w:rsidR="00BB2D4A" w:rsidRDefault="00BB2D4A" w:rsidP="00BB2D4A">
      <w:pPr>
        <w:pStyle w:val="Odstavecseseznamem"/>
        <w:ind w:left="434"/>
        <w:contextualSpacing w:val="0"/>
        <w:jc w:val="both"/>
      </w:pPr>
      <w:r>
        <w:t>Členové Komise rady města ohodnotí jednotlivé žádosti na základě úrovně akce, organizačního zajištění akce, lokalizace akce a jejího dopadu na propagaci města.</w:t>
      </w:r>
    </w:p>
    <w:p w14:paraId="36DA7FEC" w14:textId="27A9EE7B" w:rsidR="000B7D8A" w:rsidRDefault="00BB2D4A" w:rsidP="00BB2D4A">
      <w:pPr>
        <w:pStyle w:val="Odstavecseseznamem"/>
        <w:ind w:left="434"/>
        <w:contextualSpacing w:val="0"/>
        <w:jc w:val="both"/>
      </w:pPr>
      <w:r w:rsidRPr="00C8175B">
        <w:t xml:space="preserve">Komise rady města po provedeném vyhodnocení </w:t>
      </w:r>
      <w:r>
        <w:t xml:space="preserve">(průměru všech bodových hodnocení) </w:t>
      </w:r>
      <w:r w:rsidRPr="00C8175B">
        <w:t>přidělí každé žádosti odpovídající počet bodů v rozmezí 0 – 50, seřadí je podle výše přidělených bodů a stanoví minimální bodovou hranici pro</w:t>
      </w:r>
      <w:r>
        <w:t xml:space="preserve"> úspěšné žadatele</w:t>
      </w:r>
      <w:r w:rsidRPr="00C8175B">
        <w:t>. V případě, že jednotlivý projekt nedosáhne minimální bodové hranice, hodnotící komise navrhne orgánům statutárního města Ostravy dotaci neposkytnout. V případě, že předložen</w:t>
      </w:r>
      <w:r>
        <w:t>é</w:t>
      </w:r>
      <w:r w:rsidRPr="00C8175B">
        <w:t xml:space="preserve"> projekty </w:t>
      </w:r>
      <w:r>
        <w:t>dosáhnou mi</w:t>
      </w:r>
      <w:r w:rsidR="00D22C3D">
        <w:t>n</w:t>
      </w:r>
      <w:r>
        <w:t>i</w:t>
      </w:r>
      <w:r w:rsidR="00D22C3D">
        <w:t>m</w:t>
      </w:r>
      <w:r>
        <w:t>ální bodové hranice</w:t>
      </w:r>
      <w:r w:rsidRPr="00C8175B">
        <w:t>, navrhne komise na základě hlasování orgánům statutárního města Ostravy celkovou výši poskytnuté dotace</w:t>
      </w:r>
      <w:r>
        <w:t xml:space="preserve"> v souladu s bodem 3.3. tohoto článku.</w:t>
      </w:r>
    </w:p>
    <w:p w14:paraId="0EF73416" w14:textId="77777777" w:rsidR="000D5532" w:rsidRDefault="000D5532" w:rsidP="000D5532">
      <w:pPr>
        <w:pStyle w:val="Odstavecseseznamem"/>
        <w:numPr>
          <w:ilvl w:val="1"/>
          <w:numId w:val="27"/>
        </w:numPr>
        <w:ind w:left="426"/>
      </w:pPr>
      <w:r>
        <w:t>Maximální výše poskytnuté dotace</w:t>
      </w:r>
    </w:p>
    <w:p w14:paraId="3C95DE26" w14:textId="3CD7704F" w:rsidR="000D5532" w:rsidRDefault="000D5532" w:rsidP="000D5532">
      <w:pPr>
        <w:pStyle w:val="Odstavecseseznamem"/>
        <w:numPr>
          <w:ilvl w:val="1"/>
          <w:numId w:val="6"/>
        </w:numPr>
        <w:tabs>
          <w:tab w:val="left" w:pos="5670"/>
        </w:tabs>
        <w:spacing w:before="0" w:after="0"/>
        <w:ind w:left="851"/>
        <w:contextualSpacing w:val="0"/>
      </w:pPr>
      <w:r>
        <w:t xml:space="preserve">Akce celosvětového významu – </w:t>
      </w:r>
      <w:r>
        <w:tab/>
        <w:t>maximálně 5.000 tis. Kč</w:t>
      </w:r>
    </w:p>
    <w:p w14:paraId="5C782D72" w14:textId="77777777" w:rsidR="000D5532" w:rsidRDefault="000D5532" w:rsidP="000D5532">
      <w:pPr>
        <w:pStyle w:val="Odstavecseseznamem"/>
        <w:numPr>
          <w:ilvl w:val="1"/>
          <w:numId w:val="6"/>
        </w:numPr>
        <w:tabs>
          <w:tab w:val="left" w:pos="5670"/>
        </w:tabs>
        <w:spacing w:before="0" w:after="0"/>
        <w:ind w:left="851"/>
        <w:contextualSpacing w:val="0"/>
      </w:pPr>
      <w:r>
        <w:t xml:space="preserve">Akce evropského významu – </w:t>
      </w:r>
      <w:r>
        <w:tab/>
        <w:t>maximálně 3.000 tis. Kč</w:t>
      </w:r>
    </w:p>
    <w:p w14:paraId="09745FDC" w14:textId="77777777" w:rsidR="000D5532" w:rsidRDefault="000D5532" w:rsidP="000D5532">
      <w:pPr>
        <w:pStyle w:val="Odstavecseseznamem"/>
        <w:numPr>
          <w:ilvl w:val="1"/>
          <w:numId w:val="6"/>
        </w:numPr>
        <w:tabs>
          <w:tab w:val="left" w:pos="5670"/>
        </w:tabs>
        <w:spacing w:before="0" w:after="0"/>
        <w:ind w:left="851"/>
        <w:contextualSpacing w:val="0"/>
      </w:pPr>
      <w:r>
        <w:t xml:space="preserve">Akce celorepublikového významu – </w:t>
      </w:r>
      <w:r>
        <w:tab/>
        <w:t>maximálně 1.000 tis. Kč</w:t>
      </w:r>
    </w:p>
    <w:p w14:paraId="508E2E8C" w14:textId="14ECF1F6" w:rsidR="000D5532" w:rsidRDefault="000D5532" w:rsidP="000D5532">
      <w:pPr>
        <w:pStyle w:val="Odstavecseseznamem"/>
        <w:numPr>
          <w:ilvl w:val="1"/>
          <w:numId w:val="6"/>
        </w:numPr>
        <w:tabs>
          <w:tab w:val="left" w:pos="5670"/>
        </w:tabs>
        <w:spacing w:before="0" w:after="0"/>
        <w:ind w:left="851"/>
        <w:contextualSpacing w:val="0"/>
      </w:pPr>
      <w:r>
        <w:t xml:space="preserve">Akce krajského významu – </w:t>
      </w:r>
      <w:r>
        <w:tab/>
        <w:t>maximálně 5</w:t>
      </w:r>
      <w:r w:rsidR="008D7711">
        <w:t>00</w:t>
      </w:r>
      <w:r>
        <w:t xml:space="preserve"> tis. Kč</w:t>
      </w:r>
    </w:p>
    <w:p w14:paraId="02BCDD67" w14:textId="17823ED3" w:rsidR="000D5532" w:rsidRDefault="000D5532" w:rsidP="000D5532">
      <w:pPr>
        <w:pStyle w:val="Odstavecseseznamem"/>
        <w:numPr>
          <w:ilvl w:val="1"/>
          <w:numId w:val="6"/>
        </w:numPr>
        <w:tabs>
          <w:tab w:val="left" w:pos="5670"/>
        </w:tabs>
        <w:spacing w:before="0"/>
        <w:ind w:left="851"/>
        <w:contextualSpacing w:val="0"/>
      </w:pPr>
      <w:r>
        <w:t xml:space="preserve">Akce městského významu – </w:t>
      </w:r>
      <w:r>
        <w:tab/>
        <w:t xml:space="preserve">maximálně </w:t>
      </w:r>
      <w:r w:rsidR="006C1E80">
        <w:t>1</w:t>
      </w:r>
      <w:r>
        <w:t>50 tis. Kč</w:t>
      </w:r>
    </w:p>
    <w:p w14:paraId="47357EA9" w14:textId="3DF6D85D" w:rsidR="000B7D8A" w:rsidRPr="007F6F97" w:rsidRDefault="004E4339" w:rsidP="007F6F97">
      <w:r>
        <w:t>M</w:t>
      </w:r>
      <w:r w:rsidR="003B7BDC">
        <w:t>a</w:t>
      </w:r>
      <w:r>
        <w:t>ximální výše poskytnuté dotace je omezená dle</w:t>
      </w:r>
      <w:r w:rsidR="000B7D8A">
        <w:t> odstavc</w:t>
      </w:r>
      <w:r>
        <w:t>e</w:t>
      </w:r>
      <w:r w:rsidR="000B7D8A">
        <w:t xml:space="preserve"> IV. tohoto </w:t>
      </w:r>
      <w:r>
        <w:t xml:space="preserve">dotačního </w:t>
      </w:r>
      <w:r w:rsidR="000B7D8A">
        <w:t>programu</w:t>
      </w:r>
      <w:r>
        <w:t>.</w:t>
      </w:r>
      <w:r w:rsidR="000B7D8A">
        <w:t xml:space="preserve"> </w:t>
      </w:r>
    </w:p>
    <w:p w14:paraId="0F1147B7" w14:textId="41EE71BA" w:rsidR="00482B35" w:rsidRDefault="007F6F97" w:rsidP="00B42E8B">
      <w:pPr>
        <w:pStyle w:val="Nadpis1"/>
        <w:ind w:hanging="720"/>
      </w:pPr>
      <w:r>
        <w:t>K</w:t>
      </w:r>
      <w:r w:rsidR="00482B35" w:rsidRPr="00EB7758">
        <w:t>ontaktní osoby</w:t>
      </w:r>
    </w:p>
    <w:p w14:paraId="7D01432C" w14:textId="77777777" w:rsidR="00482B35" w:rsidRPr="00482B35" w:rsidRDefault="00482B35" w:rsidP="00482B35">
      <w:pPr>
        <w:jc w:val="both"/>
        <w:textAlignment w:val="top"/>
      </w:pPr>
      <w:r w:rsidRPr="00482B35">
        <w:t>Administrátorem tohoto dotačního programu je Odbor školství a sportu, oddělení sportu Magistrátu města Ostravy, Prokešovo náměstí 8, 729 30 Ostrava.</w:t>
      </w:r>
    </w:p>
    <w:p w14:paraId="0DABE257" w14:textId="77777777" w:rsidR="00AC1F70" w:rsidRDefault="00AC1F70" w:rsidP="007308FF">
      <w:pPr>
        <w:pStyle w:val="Nadpis1"/>
        <w:ind w:left="709" w:hanging="709"/>
      </w:pPr>
      <w:r w:rsidRPr="00EB7758">
        <w:t>Podmínky použití dotace</w:t>
      </w:r>
    </w:p>
    <w:p w14:paraId="1616CE78" w14:textId="77777777" w:rsidR="00AC1F70" w:rsidRPr="00AC1F70" w:rsidRDefault="00AC1F70" w:rsidP="00921E13">
      <w:pPr>
        <w:pStyle w:val="Odstavecseseznamem"/>
        <w:numPr>
          <w:ilvl w:val="0"/>
          <w:numId w:val="22"/>
        </w:numPr>
        <w:ind w:left="709" w:hanging="709"/>
        <w:jc w:val="both"/>
      </w:pPr>
      <w:r w:rsidRPr="00AC1F70">
        <w:t>Dotaci lze použít pouze na úhradu účelově určených uznatelných nákladů v souladu s obsahem projektu, jeho rozpočtem, smlouvou a podmínkami tohoto dotačního programu.</w:t>
      </w:r>
    </w:p>
    <w:p w14:paraId="03FB812D" w14:textId="7F4BD03D" w:rsidR="00AC1F70" w:rsidRPr="00AC1F70" w:rsidRDefault="00AC1F70" w:rsidP="00921E13">
      <w:pPr>
        <w:pStyle w:val="Odstavecseseznamem"/>
        <w:numPr>
          <w:ilvl w:val="0"/>
          <w:numId w:val="22"/>
        </w:numPr>
        <w:ind w:left="709" w:hanging="709"/>
        <w:jc w:val="both"/>
      </w:pPr>
      <w:r w:rsidRPr="00AC1F70">
        <w:t>Dotaci lze použít pouze na projekty realizované v období nejdříve od 1. 1. 202</w:t>
      </w:r>
      <w:r w:rsidR="004D1282">
        <w:t>2</w:t>
      </w:r>
      <w:r w:rsidRPr="00AC1F70">
        <w:t xml:space="preserve"> a nejpozději do 31. 12. 202</w:t>
      </w:r>
      <w:r w:rsidR="004D1282">
        <w:t>2</w:t>
      </w:r>
      <w:r w:rsidR="00B42E8B">
        <w:t>.</w:t>
      </w:r>
      <w:r w:rsidRPr="00AC1F70">
        <w:t xml:space="preserve"> </w:t>
      </w:r>
    </w:p>
    <w:p w14:paraId="62975BEF" w14:textId="77777777" w:rsidR="007308FF" w:rsidRDefault="007308FF" w:rsidP="007308FF">
      <w:pPr>
        <w:pStyle w:val="Nadpis1"/>
        <w:ind w:left="709" w:hanging="709"/>
      </w:pPr>
      <w:r w:rsidRPr="00F36405">
        <w:t>Závěrečné vyúčtování</w:t>
      </w:r>
    </w:p>
    <w:p w14:paraId="63AECFB1" w14:textId="16D70483" w:rsidR="007308FF" w:rsidRDefault="007308FF" w:rsidP="008013B5">
      <w:pPr>
        <w:pStyle w:val="Odstavecseseznamem"/>
        <w:numPr>
          <w:ilvl w:val="0"/>
          <w:numId w:val="33"/>
        </w:numPr>
        <w:ind w:left="709" w:hanging="709"/>
        <w:jc w:val="both"/>
      </w:pPr>
      <w:r w:rsidRPr="007308FF">
        <w:t>Po ukončení realizace projektu je příjemce povinen zpracovat a předložit poskytovateli finanční vypořádání, tj. závěrečné vyúčtování celého 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Doklady doložené v závěrečném vyúčtování musí být v českém jazyce, případně přeložené do českého jazyka (tj. v případě, že z předložených dokladů nelze identifikovat základní fakturační údaje).</w:t>
      </w:r>
    </w:p>
    <w:p w14:paraId="71E87F3C" w14:textId="42A3FD8C" w:rsidR="00582CDC" w:rsidRDefault="00450006" w:rsidP="00582CDC">
      <w:pPr>
        <w:pStyle w:val="Odstavecseseznamem"/>
        <w:numPr>
          <w:ilvl w:val="0"/>
          <w:numId w:val="33"/>
        </w:numPr>
        <w:ind w:left="709" w:hanging="709"/>
        <w:jc w:val="both"/>
      </w:pPr>
      <w:r w:rsidRPr="00450006">
        <w:t>Poskytovatel se bude finančně spolupodílet na úhradě uznatelných nákladů realizovaných projektů, které bude spolufinancovat, maximálně 50 %</w:t>
      </w:r>
      <w:r w:rsidR="008013B5">
        <w:t>, které je povinen doložit na formuláři k tomu určeném.</w:t>
      </w:r>
    </w:p>
    <w:p w14:paraId="44629A68" w14:textId="77777777" w:rsidR="007308FF" w:rsidRDefault="007308FF" w:rsidP="007308FF">
      <w:pPr>
        <w:pStyle w:val="Nadpis1"/>
        <w:ind w:left="709" w:hanging="709"/>
      </w:pPr>
      <w:r w:rsidRPr="005254FB">
        <w:t>Kontrola použití dotace</w:t>
      </w:r>
    </w:p>
    <w:p w14:paraId="15CA7135" w14:textId="77777777" w:rsidR="007308FF" w:rsidRDefault="007308FF" w:rsidP="00AC1F70">
      <w:pPr>
        <w:pStyle w:val="Odstavecseseznamem"/>
        <w:numPr>
          <w:ilvl w:val="0"/>
          <w:numId w:val="13"/>
        </w:numPr>
        <w:ind w:left="709" w:hanging="709"/>
        <w:contextualSpacing w:val="0"/>
        <w:jc w:val="both"/>
      </w:pPr>
      <w:r>
        <w:t xml:space="preserve">Ověřování správnosti použití poskytnuté dotace, zejména zda byla hospodárně a účelně využita, podléhá kontrole poskytovatele podle zákona č. 320/2001 Sb., o finanční kontrole ve </w:t>
      </w:r>
      <w:r>
        <w:lastRenderedPageBreak/>
        <w:t xml:space="preserve">veřejné správě a o změně některých zákonů (zákon o finanční kontrole), ve znění pozdějších předpisů. Po obdržení závěrečného vyúčtování bude provedena kontrola: </w:t>
      </w:r>
    </w:p>
    <w:p w14:paraId="1265C789" w14:textId="77777777" w:rsidR="007308FF" w:rsidRDefault="007308FF" w:rsidP="00DA6E46">
      <w:pPr>
        <w:pStyle w:val="Odstavecseseznamem"/>
        <w:numPr>
          <w:ilvl w:val="1"/>
          <w:numId w:val="13"/>
        </w:numPr>
        <w:spacing w:before="0" w:after="0"/>
        <w:ind w:left="1418" w:hanging="709"/>
        <w:contextualSpacing w:val="0"/>
        <w:jc w:val="both"/>
      </w:pPr>
      <w:r>
        <w:t>formální správnosti,</w:t>
      </w:r>
    </w:p>
    <w:p w14:paraId="65A49EF8" w14:textId="77777777" w:rsidR="007308FF" w:rsidRDefault="007308FF" w:rsidP="00DA6E46">
      <w:pPr>
        <w:pStyle w:val="Odstavecseseznamem"/>
        <w:numPr>
          <w:ilvl w:val="1"/>
          <w:numId w:val="13"/>
        </w:numPr>
        <w:spacing w:before="0" w:after="0"/>
        <w:ind w:left="1418" w:hanging="709"/>
        <w:contextualSpacing w:val="0"/>
        <w:jc w:val="both"/>
      </w:pPr>
      <w:r>
        <w:t>dodržení účelového určení,</w:t>
      </w:r>
    </w:p>
    <w:p w14:paraId="777385E1" w14:textId="77777777" w:rsidR="007308FF" w:rsidRDefault="007308FF" w:rsidP="00DA6E46">
      <w:pPr>
        <w:pStyle w:val="Odstavecseseznamem"/>
        <w:numPr>
          <w:ilvl w:val="1"/>
          <w:numId w:val="13"/>
        </w:numPr>
        <w:spacing w:before="0" w:after="0"/>
        <w:ind w:left="1418" w:hanging="709"/>
        <w:contextualSpacing w:val="0"/>
        <w:jc w:val="both"/>
      </w:pPr>
      <w:r>
        <w:t>uznatelnosti nákladů v rámci realizace projektu.</w:t>
      </w:r>
    </w:p>
    <w:p w14:paraId="25E3F742" w14:textId="77777777" w:rsidR="007308FF" w:rsidRPr="007308FF" w:rsidRDefault="007308FF" w:rsidP="00AC1F70">
      <w:pPr>
        <w:pStyle w:val="Odstavecseseznamem"/>
        <w:numPr>
          <w:ilvl w:val="0"/>
          <w:numId w:val="13"/>
        </w:numPr>
        <w:ind w:left="709" w:hanging="709"/>
        <w:contextualSpacing w:val="0"/>
        <w:jc w:val="both"/>
      </w:pPr>
      <w:r>
        <w:t>Neoprávněné použití dotace nebo zadržení dotace bude klasifikováno jako porušení rozpočtové kázně podle § 22 zákona č. 250/2000 Sb., o rozpočtových pravidlech územních rozpočtů, ve znění pozdějších předpisů.</w:t>
      </w:r>
    </w:p>
    <w:p w14:paraId="359175D2" w14:textId="77777777" w:rsidR="00352E48" w:rsidRDefault="003637A8" w:rsidP="005B2D1E">
      <w:pPr>
        <w:pStyle w:val="Nadpis1"/>
        <w:ind w:left="709" w:hanging="709"/>
      </w:pPr>
      <w:r w:rsidRPr="00EB7758">
        <w:t>Závěrečná ustanovení</w:t>
      </w:r>
    </w:p>
    <w:p w14:paraId="2861C0C6" w14:textId="07D3A035" w:rsidR="003637A8" w:rsidRDefault="003637A8" w:rsidP="005B2D1E">
      <w:pPr>
        <w:pStyle w:val="Odstavecseseznamem"/>
        <w:numPr>
          <w:ilvl w:val="0"/>
          <w:numId w:val="12"/>
        </w:numPr>
        <w:ind w:hanging="720"/>
        <w:jc w:val="both"/>
      </w:pPr>
      <w:r>
        <w:t>Poskytnutí dotací je podmíněno schválením finančních prostředků v rozpočtu statutárního města Ostravy na rok 202</w:t>
      </w:r>
      <w:r w:rsidR="00611929">
        <w:t>2</w:t>
      </w:r>
      <w:r>
        <w:t>.</w:t>
      </w:r>
    </w:p>
    <w:p w14:paraId="492D2A58" w14:textId="561D3D93" w:rsidR="003637A8" w:rsidRDefault="003637A8" w:rsidP="005B2D1E">
      <w:pPr>
        <w:pStyle w:val="Odstavecseseznamem"/>
        <w:numPr>
          <w:ilvl w:val="0"/>
          <w:numId w:val="12"/>
        </w:numPr>
        <w:ind w:left="709" w:hanging="709"/>
        <w:jc w:val="both"/>
      </w:pPr>
      <w:r>
        <w:t>Na poskytnutí dotace není právní nárok.</w:t>
      </w:r>
    </w:p>
    <w:p w14:paraId="6B14505F" w14:textId="77777777" w:rsidR="00CA73C2" w:rsidRDefault="00CA73C2" w:rsidP="00CA73C2">
      <w:pPr>
        <w:pStyle w:val="Odstavecseseznamem"/>
        <w:numPr>
          <w:ilvl w:val="0"/>
          <w:numId w:val="12"/>
        </w:numPr>
        <w:ind w:left="709" w:hanging="709"/>
        <w:jc w:val="both"/>
      </w:pPr>
      <w:r w:rsidRPr="00CA73C2">
        <w:t>Informace o výši poskytnutých peněžních prostředků budou zveřejněny na dotačním portálu SMO http://dotace.ostrava.cz/ do 15 dnů od rozhodnutí orgánů města.</w:t>
      </w:r>
    </w:p>
    <w:p w14:paraId="3AD00F7D" w14:textId="43DF5D8A" w:rsidR="00CA73C2" w:rsidRDefault="00CA73C2" w:rsidP="00CA73C2">
      <w:pPr>
        <w:pStyle w:val="Odstavecseseznamem"/>
        <w:numPr>
          <w:ilvl w:val="0"/>
          <w:numId w:val="12"/>
        </w:numPr>
        <w:ind w:left="709" w:hanging="709"/>
        <w:jc w:val="both"/>
      </w:pPr>
      <w:r>
        <w:t>Neúspěšným žadatelům o dotaci budou důvody neposkytnutí dotace sděleny administrátorem bez zbytečného odkladu na e-mailovou adresu uvedenou v žádosti o poskytnutí dotace v odstavci kontakt na žadatele.</w:t>
      </w:r>
    </w:p>
    <w:p w14:paraId="64BE5792" w14:textId="77777777" w:rsidR="003637A8" w:rsidRDefault="003637A8" w:rsidP="005B2D1E">
      <w:pPr>
        <w:pStyle w:val="Odstavecseseznamem"/>
        <w:numPr>
          <w:ilvl w:val="0"/>
          <w:numId w:val="12"/>
        </w:numPr>
        <w:ind w:left="709" w:hanging="709"/>
        <w:jc w:val="both"/>
      </w:pPr>
      <w:r>
        <w:t>Statutární město Ostrava si vyhrazuje právo vyhlášený dotační program bez udání důvodu zrušit. Ve výjimečných a odůvodnitelných případech si statutární město Ostrava vyhrazuje právo na úpravu a změnu kteréhokoliv článku tohoto Programu.</w:t>
      </w:r>
    </w:p>
    <w:p w14:paraId="75326190" w14:textId="77777777" w:rsidR="005B2D1E" w:rsidRDefault="005B2D1E" w:rsidP="005B2D1E">
      <w:pPr>
        <w:pStyle w:val="Nadpis1"/>
        <w:ind w:left="709" w:hanging="709"/>
      </w:pPr>
      <w:r w:rsidRPr="005254FB">
        <w:t>Účinnost</w:t>
      </w:r>
    </w:p>
    <w:p w14:paraId="602637ED" w14:textId="77777777" w:rsidR="009302FB" w:rsidRDefault="005B2D1E" w:rsidP="009302FB">
      <w:r w:rsidRPr="005B2D1E">
        <w:t xml:space="preserve">Tento program byl schválen usnesením zastupitelstva města Ostravy č. </w:t>
      </w:r>
      <w:r w:rsidR="009302FB">
        <w:t>1517/ZM1822/24 ze dne 23.6.2021.</w:t>
      </w:r>
    </w:p>
    <w:p w14:paraId="28D5D63D" w14:textId="353C6048" w:rsidR="005B2D1E" w:rsidRDefault="005B2D1E" w:rsidP="005B2D1E"/>
    <w:p w14:paraId="0AADB41F" w14:textId="77777777" w:rsidR="00C31931" w:rsidRDefault="00C31931" w:rsidP="00C31931">
      <w:pPr>
        <w:pStyle w:val="Nadpis1"/>
        <w:ind w:left="709" w:hanging="709"/>
      </w:pPr>
      <w:r>
        <w:t>Seznam příloh</w:t>
      </w:r>
    </w:p>
    <w:p w14:paraId="44E3BF83" w14:textId="77777777" w:rsidR="00C31931" w:rsidRDefault="00C31931" w:rsidP="00C31931">
      <w:pPr>
        <w:pStyle w:val="Odstavecseseznamem"/>
        <w:numPr>
          <w:ilvl w:val="0"/>
          <w:numId w:val="34"/>
        </w:numPr>
        <w:ind w:left="709" w:hanging="709"/>
      </w:pPr>
      <w:r>
        <w:t>Návrh vzorové smlouvy</w:t>
      </w:r>
    </w:p>
    <w:p w14:paraId="7036CB8B" w14:textId="56DD2C28" w:rsidR="00C31931" w:rsidRDefault="00C31931" w:rsidP="00C31931">
      <w:pPr>
        <w:pStyle w:val="Odstavecseseznamem"/>
        <w:numPr>
          <w:ilvl w:val="0"/>
          <w:numId w:val="34"/>
        </w:numPr>
        <w:ind w:left="709" w:hanging="709"/>
      </w:pPr>
      <w:r>
        <w:t>Vzor žádosti o posk</w:t>
      </w:r>
      <w:r w:rsidR="009302FB">
        <w:t>y</w:t>
      </w:r>
      <w:r>
        <w:t>tnutí finančních prostředků</w:t>
      </w:r>
    </w:p>
    <w:p w14:paraId="012B943A" w14:textId="77777777" w:rsidR="00C31931" w:rsidRDefault="00C31931" w:rsidP="00C31931">
      <w:pPr>
        <w:pStyle w:val="Odstavecseseznamem"/>
        <w:numPr>
          <w:ilvl w:val="0"/>
          <w:numId w:val="34"/>
        </w:numPr>
        <w:ind w:left="709" w:hanging="709"/>
      </w:pPr>
      <w:r>
        <w:t>Popis projektu</w:t>
      </w:r>
    </w:p>
    <w:p w14:paraId="7FE22AF1" w14:textId="38EEF8ED" w:rsidR="00C31931" w:rsidRDefault="00C31931" w:rsidP="00C31931">
      <w:pPr>
        <w:pStyle w:val="Odstavecseseznamem"/>
        <w:numPr>
          <w:ilvl w:val="0"/>
          <w:numId w:val="34"/>
        </w:numPr>
        <w:ind w:left="709" w:hanging="709"/>
      </w:pPr>
      <w:r>
        <w:t>Č</w:t>
      </w:r>
      <w:r w:rsidRPr="00A52843">
        <w:t xml:space="preserve">estné prohlášení k podpoře malého rozsahu </w:t>
      </w:r>
      <w:r>
        <w:t>–</w:t>
      </w:r>
      <w:r w:rsidRPr="00A52843">
        <w:t xml:space="preserve"> </w:t>
      </w:r>
      <w:proofErr w:type="spellStart"/>
      <w:r w:rsidRPr="00A52843">
        <w:t>deminimis</w:t>
      </w:r>
      <w:proofErr w:type="spellEnd"/>
    </w:p>
    <w:p w14:paraId="16242320" w14:textId="7100487C" w:rsidR="00C31931" w:rsidRPr="00A52843" w:rsidRDefault="00C31931" w:rsidP="00C31931">
      <w:pPr>
        <w:pStyle w:val="Odstavecseseznamem"/>
        <w:numPr>
          <w:ilvl w:val="0"/>
          <w:numId w:val="34"/>
        </w:numPr>
        <w:ind w:left="709" w:hanging="709"/>
      </w:pPr>
      <w:r>
        <w:t>Čestné prohlášení o neexistenci nedoplatků na veřejném zdravotním a sociálním pojištění a na příspěvku na státní politiku zaměstnanosti</w:t>
      </w:r>
    </w:p>
    <w:sectPr w:rsidR="00C31931" w:rsidRPr="00A528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56A6C" w14:textId="77777777" w:rsidR="009E7EBE" w:rsidRDefault="009E7EBE" w:rsidP="007308FF">
      <w:pPr>
        <w:spacing w:before="0" w:after="0"/>
      </w:pPr>
      <w:r>
        <w:separator/>
      </w:r>
    </w:p>
  </w:endnote>
  <w:endnote w:type="continuationSeparator" w:id="0">
    <w:p w14:paraId="0236FF0C" w14:textId="77777777" w:rsidR="009E7EBE" w:rsidRDefault="009E7EBE" w:rsidP="00730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1609"/>
      <w:docPartObj>
        <w:docPartGallery w:val="Page Numbers (Bottom of Page)"/>
        <w:docPartUnique/>
      </w:docPartObj>
    </w:sdtPr>
    <w:sdtEndPr/>
    <w:sdtContent>
      <w:p w14:paraId="1BA67E0C" w14:textId="77777777" w:rsidR="007308FF" w:rsidRDefault="007308FF">
        <w:pPr>
          <w:pStyle w:val="Zpat"/>
          <w:jc w:val="right"/>
        </w:pPr>
        <w:r>
          <w:fldChar w:fldCharType="begin"/>
        </w:r>
        <w:r>
          <w:instrText>PAGE   \* MERGEFORMAT</w:instrText>
        </w:r>
        <w:r>
          <w:fldChar w:fldCharType="separate"/>
        </w:r>
        <w:r w:rsidR="002354AB">
          <w:rPr>
            <w:noProof/>
          </w:rPr>
          <w:t>1</w:t>
        </w:r>
        <w:r>
          <w:fldChar w:fldCharType="end"/>
        </w:r>
      </w:p>
    </w:sdtContent>
  </w:sdt>
  <w:p w14:paraId="5D3E3FFD" w14:textId="77777777" w:rsidR="007308FF" w:rsidRDefault="00730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076ED" w14:textId="77777777" w:rsidR="009E7EBE" w:rsidRDefault="009E7EBE" w:rsidP="007308FF">
      <w:pPr>
        <w:spacing w:before="0" w:after="0"/>
      </w:pPr>
      <w:r>
        <w:separator/>
      </w:r>
    </w:p>
  </w:footnote>
  <w:footnote w:type="continuationSeparator" w:id="0">
    <w:p w14:paraId="49E6B317" w14:textId="77777777" w:rsidR="009E7EBE" w:rsidRDefault="009E7EBE" w:rsidP="007308F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15B"/>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C1E60"/>
    <w:multiLevelType w:val="multilevel"/>
    <w:tmpl w:val="CC44F7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21D1"/>
    <w:multiLevelType w:val="hybridMultilevel"/>
    <w:tmpl w:val="B1744592"/>
    <w:lvl w:ilvl="0" w:tplc="ED4289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62FB9"/>
    <w:multiLevelType w:val="multilevel"/>
    <w:tmpl w:val="0E94BC2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128E0F80"/>
    <w:multiLevelType w:val="hybridMultilevel"/>
    <w:tmpl w:val="9A74E8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537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92DE2"/>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14A5593"/>
    <w:multiLevelType w:val="hybridMultilevel"/>
    <w:tmpl w:val="3B34AABA"/>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D40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007C7"/>
    <w:multiLevelType w:val="hybridMultilevel"/>
    <w:tmpl w:val="31D6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746F83"/>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DB40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AB4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832B2E"/>
    <w:multiLevelType w:val="hybridMultilevel"/>
    <w:tmpl w:val="885006B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CE31D0"/>
    <w:multiLevelType w:val="multilevel"/>
    <w:tmpl w:val="29BA492A"/>
    <w:lvl w:ilvl="0">
      <w:start w:val="1"/>
      <w:numFmt w:val="decimal"/>
      <w:lvlText w:val="%1."/>
      <w:lvlJc w:val="left"/>
      <w:pPr>
        <w:ind w:left="360" w:hanging="360"/>
      </w:pPr>
    </w:lvl>
    <w:lvl w:ilvl="1">
      <w:start w:val="1"/>
      <w:numFmt w:val="decimal"/>
      <w:pStyle w:val="Nadpis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07E2F"/>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9457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286F64"/>
    <w:multiLevelType w:val="multilevel"/>
    <w:tmpl w:val="4768F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47E94"/>
    <w:multiLevelType w:val="hybridMultilevel"/>
    <w:tmpl w:val="95AC8BD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0" w15:restartNumberingAfterBreak="0">
    <w:nsid w:val="49EC22D7"/>
    <w:multiLevelType w:val="hybridMultilevel"/>
    <w:tmpl w:val="9288F28E"/>
    <w:lvl w:ilvl="0" w:tplc="1A3E3124">
      <w:start w:val="1"/>
      <w:numFmt w:val="upperRoman"/>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B51BFE"/>
    <w:multiLevelType w:val="hybridMultilevel"/>
    <w:tmpl w:val="087CD058"/>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891C6B"/>
    <w:multiLevelType w:val="hybridMultilevel"/>
    <w:tmpl w:val="D8829056"/>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AE4F61"/>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D20653"/>
    <w:multiLevelType w:val="hybridMultilevel"/>
    <w:tmpl w:val="1354FD42"/>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8D1F13"/>
    <w:multiLevelType w:val="multilevel"/>
    <w:tmpl w:val="B336A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B05840"/>
    <w:multiLevelType w:val="hybridMultilevel"/>
    <w:tmpl w:val="FCEED50C"/>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680EC3"/>
    <w:multiLevelType w:val="hybridMultilevel"/>
    <w:tmpl w:val="E1C4BD20"/>
    <w:lvl w:ilvl="0" w:tplc="3022E44E">
      <w:start w:val="2"/>
      <w:numFmt w:val="bullet"/>
      <w:lvlText w:val="-"/>
      <w:lvlJc w:val="left"/>
      <w:pPr>
        <w:ind w:left="360" w:hanging="360"/>
      </w:pPr>
      <w:rPr>
        <w:rFonts w:ascii="Times New Roman" w:eastAsia="Times New Roman" w:hAnsi="Times New Roman" w:cs="Times New Roman"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AF174AB"/>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CE6FCE"/>
    <w:multiLevelType w:val="hybridMultilevel"/>
    <w:tmpl w:val="4D8EA6E2"/>
    <w:lvl w:ilvl="0" w:tplc="F824011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D126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2579E1"/>
    <w:multiLevelType w:val="multilevel"/>
    <w:tmpl w:val="E15AD1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24"/>
  </w:num>
  <w:num w:numId="4">
    <w:abstractNumId w:val="21"/>
  </w:num>
  <w:num w:numId="5">
    <w:abstractNumId w:val="26"/>
  </w:num>
  <w:num w:numId="6">
    <w:abstractNumId w:val="27"/>
  </w:num>
  <w:num w:numId="7">
    <w:abstractNumId w:val="22"/>
  </w:num>
  <w:num w:numId="8">
    <w:abstractNumId w:val="4"/>
  </w:num>
  <w:num w:numId="9">
    <w:abstractNumId w:val="16"/>
  </w:num>
  <w:num w:numId="10">
    <w:abstractNumId w:val="20"/>
  </w:num>
  <w:num w:numId="11">
    <w:abstractNumId w:val="0"/>
  </w:num>
  <w:num w:numId="12">
    <w:abstractNumId w:val="14"/>
  </w:num>
  <w:num w:numId="13">
    <w:abstractNumId w:val="17"/>
  </w:num>
  <w:num w:numId="14">
    <w:abstractNumId w:val="2"/>
  </w:num>
  <w:num w:numId="15">
    <w:abstractNumId w:val="23"/>
  </w:num>
  <w:num w:numId="16">
    <w:abstractNumId w:val="1"/>
  </w:num>
  <w:num w:numId="17">
    <w:abstractNumId w:val="25"/>
  </w:num>
  <w:num w:numId="18">
    <w:abstractNumId w:val="3"/>
  </w:num>
  <w:num w:numId="19">
    <w:abstractNumId w:val="12"/>
  </w:num>
  <w:num w:numId="20">
    <w:abstractNumId w:val="8"/>
  </w:num>
  <w:num w:numId="21">
    <w:abstractNumId w:val="28"/>
  </w:num>
  <w:num w:numId="22">
    <w:abstractNumId w:val="5"/>
  </w:num>
  <w:num w:numId="23">
    <w:abstractNumId w:val="29"/>
  </w:num>
  <w:num w:numId="24">
    <w:abstractNumId w:val="15"/>
  </w:num>
  <w:num w:numId="25">
    <w:abstractNumId w:val="1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9"/>
  </w:num>
  <w:num w:numId="29">
    <w:abstractNumId w:val="20"/>
  </w:num>
  <w:num w:numId="30">
    <w:abstractNumId w:val="18"/>
  </w:num>
  <w:num w:numId="31">
    <w:abstractNumId w:val="6"/>
  </w:num>
  <w:num w:numId="32">
    <w:abstractNumId w:val="11"/>
  </w:num>
  <w:num w:numId="33">
    <w:abstractNumId w:val="3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C"/>
    <w:rsid w:val="00015D8B"/>
    <w:rsid w:val="00017976"/>
    <w:rsid w:val="000308B9"/>
    <w:rsid w:val="000408CF"/>
    <w:rsid w:val="00064F72"/>
    <w:rsid w:val="000652DB"/>
    <w:rsid w:val="00087815"/>
    <w:rsid w:val="000A2C18"/>
    <w:rsid w:val="000B66CA"/>
    <w:rsid w:val="000B7D8A"/>
    <w:rsid w:val="000C5702"/>
    <w:rsid w:val="000D5532"/>
    <w:rsid w:val="000D658D"/>
    <w:rsid w:val="000E06C0"/>
    <w:rsid w:val="000F2E5B"/>
    <w:rsid w:val="00104DC9"/>
    <w:rsid w:val="00124B8F"/>
    <w:rsid w:val="00145A0A"/>
    <w:rsid w:val="00147786"/>
    <w:rsid w:val="001532E7"/>
    <w:rsid w:val="001629B0"/>
    <w:rsid w:val="001753B8"/>
    <w:rsid w:val="00181047"/>
    <w:rsid w:val="001A26A6"/>
    <w:rsid w:val="001C5E7C"/>
    <w:rsid w:val="001D7F43"/>
    <w:rsid w:val="001F11AF"/>
    <w:rsid w:val="00213DF6"/>
    <w:rsid w:val="00222E30"/>
    <w:rsid w:val="00230C87"/>
    <w:rsid w:val="002354AB"/>
    <w:rsid w:val="00235AC2"/>
    <w:rsid w:val="00240C0A"/>
    <w:rsid w:val="00253C12"/>
    <w:rsid w:val="0025695F"/>
    <w:rsid w:val="002679C3"/>
    <w:rsid w:val="0028638B"/>
    <w:rsid w:val="002C06CC"/>
    <w:rsid w:val="002D3284"/>
    <w:rsid w:val="002D603A"/>
    <w:rsid w:val="002D74B4"/>
    <w:rsid w:val="002F227C"/>
    <w:rsid w:val="003107BC"/>
    <w:rsid w:val="003202DA"/>
    <w:rsid w:val="00337F82"/>
    <w:rsid w:val="00352C3B"/>
    <w:rsid w:val="00352E48"/>
    <w:rsid w:val="003637A8"/>
    <w:rsid w:val="00384B6C"/>
    <w:rsid w:val="00386E28"/>
    <w:rsid w:val="003944B5"/>
    <w:rsid w:val="003B7BDC"/>
    <w:rsid w:val="003C2685"/>
    <w:rsid w:val="003C4D7B"/>
    <w:rsid w:val="003D2CBC"/>
    <w:rsid w:val="003F1639"/>
    <w:rsid w:val="00417396"/>
    <w:rsid w:val="00450006"/>
    <w:rsid w:val="00467E90"/>
    <w:rsid w:val="00482B35"/>
    <w:rsid w:val="004A443D"/>
    <w:rsid w:val="004D1282"/>
    <w:rsid w:val="004E4339"/>
    <w:rsid w:val="00512583"/>
    <w:rsid w:val="00562246"/>
    <w:rsid w:val="00582CDC"/>
    <w:rsid w:val="00583533"/>
    <w:rsid w:val="005A47CC"/>
    <w:rsid w:val="005A745D"/>
    <w:rsid w:val="005B2D1E"/>
    <w:rsid w:val="005B7C16"/>
    <w:rsid w:val="005E1ACD"/>
    <w:rsid w:val="00611929"/>
    <w:rsid w:val="00615E88"/>
    <w:rsid w:val="00631C85"/>
    <w:rsid w:val="0066461F"/>
    <w:rsid w:val="006B1BB1"/>
    <w:rsid w:val="006C1E80"/>
    <w:rsid w:val="006C5A80"/>
    <w:rsid w:val="006C6C09"/>
    <w:rsid w:val="006D0BB6"/>
    <w:rsid w:val="006E08BF"/>
    <w:rsid w:val="007308FF"/>
    <w:rsid w:val="00740A92"/>
    <w:rsid w:val="0074734E"/>
    <w:rsid w:val="00782257"/>
    <w:rsid w:val="007A15B7"/>
    <w:rsid w:val="007A6B3C"/>
    <w:rsid w:val="007B71AC"/>
    <w:rsid w:val="007E63EE"/>
    <w:rsid w:val="007F6F97"/>
    <w:rsid w:val="008013B5"/>
    <w:rsid w:val="00823F2D"/>
    <w:rsid w:val="00834D2C"/>
    <w:rsid w:val="00852203"/>
    <w:rsid w:val="008723BB"/>
    <w:rsid w:val="008A3B8D"/>
    <w:rsid w:val="008C261A"/>
    <w:rsid w:val="008D7711"/>
    <w:rsid w:val="008F7EBE"/>
    <w:rsid w:val="009010A1"/>
    <w:rsid w:val="00917D96"/>
    <w:rsid w:val="00921E13"/>
    <w:rsid w:val="00927922"/>
    <w:rsid w:val="009302FB"/>
    <w:rsid w:val="00952A53"/>
    <w:rsid w:val="00974034"/>
    <w:rsid w:val="00990025"/>
    <w:rsid w:val="009C67D8"/>
    <w:rsid w:val="009E7EBE"/>
    <w:rsid w:val="00A12087"/>
    <w:rsid w:val="00A32166"/>
    <w:rsid w:val="00AA4AF6"/>
    <w:rsid w:val="00AC1F70"/>
    <w:rsid w:val="00B1494A"/>
    <w:rsid w:val="00B36057"/>
    <w:rsid w:val="00B42E8B"/>
    <w:rsid w:val="00B63A98"/>
    <w:rsid w:val="00B93589"/>
    <w:rsid w:val="00B96B35"/>
    <w:rsid w:val="00BA05DA"/>
    <w:rsid w:val="00BB2D4A"/>
    <w:rsid w:val="00BD0410"/>
    <w:rsid w:val="00BE0BD5"/>
    <w:rsid w:val="00C31931"/>
    <w:rsid w:val="00C31B21"/>
    <w:rsid w:val="00C53C5C"/>
    <w:rsid w:val="00C76F3C"/>
    <w:rsid w:val="00C80EE5"/>
    <w:rsid w:val="00C8126F"/>
    <w:rsid w:val="00C8175B"/>
    <w:rsid w:val="00C92078"/>
    <w:rsid w:val="00C93A4D"/>
    <w:rsid w:val="00C940C4"/>
    <w:rsid w:val="00C959CD"/>
    <w:rsid w:val="00CA154D"/>
    <w:rsid w:val="00CA73C2"/>
    <w:rsid w:val="00CA7B20"/>
    <w:rsid w:val="00CC39D0"/>
    <w:rsid w:val="00CE13F6"/>
    <w:rsid w:val="00CE3375"/>
    <w:rsid w:val="00D14E4E"/>
    <w:rsid w:val="00D22C3D"/>
    <w:rsid w:val="00D2361A"/>
    <w:rsid w:val="00D43ABE"/>
    <w:rsid w:val="00D73CE8"/>
    <w:rsid w:val="00D76EE6"/>
    <w:rsid w:val="00D807BA"/>
    <w:rsid w:val="00D86FCA"/>
    <w:rsid w:val="00DA4A77"/>
    <w:rsid w:val="00DA6E46"/>
    <w:rsid w:val="00DB0557"/>
    <w:rsid w:val="00DB3E1D"/>
    <w:rsid w:val="00DD2C69"/>
    <w:rsid w:val="00DD3CF9"/>
    <w:rsid w:val="00E025D2"/>
    <w:rsid w:val="00E46CB4"/>
    <w:rsid w:val="00E71678"/>
    <w:rsid w:val="00EC40E8"/>
    <w:rsid w:val="00EC74D6"/>
    <w:rsid w:val="00EE00F1"/>
    <w:rsid w:val="00EF11D8"/>
    <w:rsid w:val="00F00F54"/>
    <w:rsid w:val="00F50D98"/>
    <w:rsid w:val="00F533A2"/>
    <w:rsid w:val="00F540C5"/>
    <w:rsid w:val="00F776FD"/>
    <w:rsid w:val="00F93A09"/>
    <w:rsid w:val="00FA3601"/>
    <w:rsid w:val="00FF2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CDA0"/>
  <w15:docId w15:val="{52AB3D7A-6B59-4AD3-9239-E874DE97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F70"/>
    <w:pPr>
      <w:spacing w:before="120" w:after="120" w:line="240" w:lineRule="auto"/>
    </w:pPr>
  </w:style>
  <w:style w:type="paragraph" w:styleId="Nadpis1">
    <w:name w:val="heading 1"/>
    <w:basedOn w:val="Normln"/>
    <w:next w:val="Normln"/>
    <w:link w:val="Nadpis1Char"/>
    <w:uiPriority w:val="9"/>
    <w:qFormat/>
    <w:rsid w:val="001629B0"/>
    <w:pPr>
      <w:keepNext/>
      <w:keepLines/>
      <w:numPr>
        <w:numId w:val="10"/>
      </w:numPr>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DA6E46"/>
    <w:pPr>
      <w:numPr>
        <w:ilvl w:val="1"/>
        <w:numId w:val="24"/>
      </w:numPr>
      <w:ind w:left="788" w:hanging="431"/>
      <w:contextualSpacing w:val="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4D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NzevChar">
    <w:name w:val="Název Char"/>
    <w:basedOn w:val="Standardnpsmoodstavce"/>
    <w:link w:val="Nzev"/>
    <w:uiPriority w:val="10"/>
    <w:rsid w:val="00834D2C"/>
    <w:rPr>
      <w:rFonts w:asciiTheme="majorHAnsi" w:eastAsiaTheme="majorEastAsia" w:hAnsiTheme="majorHAnsi" w:cstheme="majorBidi"/>
      <w:color w:val="17365D" w:themeColor="text2" w:themeShade="BF"/>
      <w:spacing w:val="5"/>
      <w:kern w:val="28"/>
      <w:sz w:val="40"/>
      <w:szCs w:val="52"/>
    </w:rPr>
  </w:style>
  <w:style w:type="character" w:customStyle="1" w:styleId="Nadpis1Char">
    <w:name w:val="Nadpis 1 Char"/>
    <w:basedOn w:val="Standardnpsmoodstavce"/>
    <w:link w:val="Nadpis1"/>
    <w:uiPriority w:val="9"/>
    <w:rsid w:val="001629B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0C87"/>
    <w:pPr>
      <w:ind w:left="720"/>
      <w:contextualSpacing/>
    </w:pPr>
  </w:style>
  <w:style w:type="paragraph" w:styleId="Zhlav">
    <w:name w:val="header"/>
    <w:basedOn w:val="Normln"/>
    <w:link w:val="ZhlavChar"/>
    <w:uiPriority w:val="99"/>
    <w:unhideWhenUsed/>
    <w:rsid w:val="007308FF"/>
    <w:pPr>
      <w:tabs>
        <w:tab w:val="center" w:pos="4536"/>
        <w:tab w:val="right" w:pos="9072"/>
      </w:tabs>
      <w:spacing w:after="0"/>
    </w:pPr>
  </w:style>
  <w:style w:type="character" w:customStyle="1" w:styleId="ZhlavChar">
    <w:name w:val="Záhlaví Char"/>
    <w:basedOn w:val="Standardnpsmoodstavce"/>
    <w:link w:val="Zhlav"/>
    <w:uiPriority w:val="99"/>
    <w:rsid w:val="007308FF"/>
  </w:style>
  <w:style w:type="paragraph" w:styleId="Zpat">
    <w:name w:val="footer"/>
    <w:basedOn w:val="Normln"/>
    <w:link w:val="ZpatChar"/>
    <w:uiPriority w:val="99"/>
    <w:unhideWhenUsed/>
    <w:rsid w:val="007308FF"/>
    <w:pPr>
      <w:tabs>
        <w:tab w:val="center" w:pos="4536"/>
        <w:tab w:val="right" w:pos="9072"/>
      </w:tabs>
      <w:spacing w:after="0"/>
    </w:pPr>
  </w:style>
  <w:style w:type="character" w:customStyle="1" w:styleId="ZpatChar">
    <w:name w:val="Zápatí Char"/>
    <w:basedOn w:val="Standardnpsmoodstavce"/>
    <w:link w:val="Zpat"/>
    <w:uiPriority w:val="99"/>
    <w:rsid w:val="007308FF"/>
  </w:style>
  <w:style w:type="character" w:styleId="Odkaznakoment">
    <w:name w:val="annotation reference"/>
    <w:basedOn w:val="Standardnpsmoodstavce"/>
    <w:uiPriority w:val="99"/>
    <w:semiHidden/>
    <w:unhideWhenUsed/>
    <w:rsid w:val="008F7EBE"/>
    <w:rPr>
      <w:sz w:val="16"/>
      <w:szCs w:val="16"/>
    </w:rPr>
  </w:style>
  <w:style w:type="paragraph" w:styleId="Textkomente">
    <w:name w:val="annotation text"/>
    <w:basedOn w:val="Normln"/>
    <w:link w:val="TextkomenteChar"/>
    <w:uiPriority w:val="99"/>
    <w:semiHidden/>
    <w:unhideWhenUsed/>
    <w:rsid w:val="008F7EBE"/>
    <w:rPr>
      <w:sz w:val="20"/>
      <w:szCs w:val="20"/>
    </w:rPr>
  </w:style>
  <w:style w:type="character" w:customStyle="1" w:styleId="TextkomenteChar">
    <w:name w:val="Text komentáře Char"/>
    <w:basedOn w:val="Standardnpsmoodstavce"/>
    <w:link w:val="Textkomente"/>
    <w:uiPriority w:val="99"/>
    <w:semiHidden/>
    <w:rsid w:val="008F7EBE"/>
    <w:rPr>
      <w:sz w:val="20"/>
      <w:szCs w:val="20"/>
    </w:rPr>
  </w:style>
  <w:style w:type="paragraph" w:styleId="Pedmtkomente">
    <w:name w:val="annotation subject"/>
    <w:basedOn w:val="Textkomente"/>
    <w:next w:val="Textkomente"/>
    <w:link w:val="PedmtkomenteChar"/>
    <w:uiPriority w:val="99"/>
    <w:semiHidden/>
    <w:unhideWhenUsed/>
    <w:rsid w:val="008F7EBE"/>
    <w:rPr>
      <w:b/>
      <w:bCs/>
    </w:rPr>
  </w:style>
  <w:style w:type="character" w:customStyle="1" w:styleId="PedmtkomenteChar">
    <w:name w:val="Předmět komentáře Char"/>
    <w:basedOn w:val="TextkomenteChar"/>
    <w:link w:val="Pedmtkomente"/>
    <w:uiPriority w:val="99"/>
    <w:semiHidden/>
    <w:rsid w:val="008F7EBE"/>
    <w:rPr>
      <w:b/>
      <w:bCs/>
      <w:sz w:val="20"/>
      <w:szCs w:val="20"/>
    </w:rPr>
  </w:style>
  <w:style w:type="paragraph" w:styleId="Textbubliny">
    <w:name w:val="Balloon Text"/>
    <w:basedOn w:val="Normln"/>
    <w:link w:val="TextbublinyChar"/>
    <w:uiPriority w:val="99"/>
    <w:semiHidden/>
    <w:unhideWhenUsed/>
    <w:rsid w:val="008F7EB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7EBE"/>
    <w:rPr>
      <w:rFonts w:ascii="Tahoma" w:hAnsi="Tahoma" w:cs="Tahoma"/>
      <w:sz w:val="16"/>
      <w:szCs w:val="16"/>
    </w:rPr>
  </w:style>
  <w:style w:type="character" w:customStyle="1" w:styleId="Nadpis2Char">
    <w:name w:val="Nadpis 2 Char"/>
    <w:basedOn w:val="Standardnpsmoodstavce"/>
    <w:link w:val="Nadpis2"/>
    <w:uiPriority w:val="9"/>
    <w:rsid w:val="00DA6E46"/>
  </w:style>
  <w:style w:type="character" w:styleId="Hypertextovodkaz">
    <w:name w:val="Hyperlink"/>
    <w:basedOn w:val="Standardnpsmoodstavce"/>
    <w:uiPriority w:val="99"/>
    <w:unhideWhenUsed/>
    <w:rsid w:val="00482B35"/>
    <w:rPr>
      <w:color w:val="313030"/>
      <w:u w:val="single"/>
    </w:rPr>
  </w:style>
  <w:style w:type="table" w:styleId="Mkatabulky">
    <w:name w:val="Table Grid"/>
    <w:basedOn w:val="Normlntabulka"/>
    <w:uiPriority w:val="59"/>
    <w:rsid w:val="0035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D5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5469">
      <w:bodyDiv w:val="1"/>
      <w:marLeft w:val="0"/>
      <w:marRight w:val="0"/>
      <w:marTop w:val="0"/>
      <w:marBottom w:val="0"/>
      <w:divBdr>
        <w:top w:val="none" w:sz="0" w:space="0" w:color="auto"/>
        <w:left w:val="none" w:sz="0" w:space="0" w:color="auto"/>
        <w:bottom w:val="none" w:sz="0" w:space="0" w:color="auto"/>
        <w:right w:val="none" w:sz="0" w:space="0" w:color="auto"/>
      </w:divBdr>
    </w:div>
    <w:div w:id="284391391">
      <w:bodyDiv w:val="1"/>
      <w:marLeft w:val="0"/>
      <w:marRight w:val="0"/>
      <w:marTop w:val="0"/>
      <w:marBottom w:val="0"/>
      <w:divBdr>
        <w:top w:val="none" w:sz="0" w:space="0" w:color="auto"/>
        <w:left w:val="none" w:sz="0" w:space="0" w:color="auto"/>
        <w:bottom w:val="none" w:sz="0" w:space="0" w:color="auto"/>
        <w:right w:val="none" w:sz="0" w:space="0" w:color="auto"/>
      </w:divBdr>
      <w:divsChild>
        <w:div w:id="777289327">
          <w:marLeft w:val="0"/>
          <w:marRight w:val="0"/>
          <w:marTop w:val="0"/>
          <w:marBottom w:val="0"/>
          <w:divBdr>
            <w:top w:val="none" w:sz="0" w:space="0" w:color="auto"/>
            <w:left w:val="none" w:sz="0" w:space="0" w:color="auto"/>
            <w:bottom w:val="none" w:sz="0" w:space="0" w:color="auto"/>
            <w:right w:val="none" w:sz="0" w:space="0" w:color="auto"/>
          </w:divBdr>
        </w:div>
      </w:divsChild>
    </w:div>
    <w:div w:id="298416984">
      <w:bodyDiv w:val="1"/>
      <w:marLeft w:val="0"/>
      <w:marRight w:val="0"/>
      <w:marTop w:val="0"/>
      <w:marBottom w:val="0"/>
      <w:divBdr>
        <w:top w:val="none" w:sz="0" w:space="0" w:color="auto"/>
        <w:left w:val="none" w:sz="0" w:space="0" w:color="auto"/>
        <w:bottom w:val="none" w:sz="0" w:space="0" w:color="auto"/>
        <w:right w:val="none" w:sz="0" w:space="0" w:color="auto"/>
      </w:divBdr>
    </w:div>
    <w:div w:id="795297178">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934247046">
      <w:bodyDiv w:val="1"/>
      <w:marLeft w:val="0"/>
      <w:marRight w:val="0"/>
      <w:marTop w:val="0"/>
      <w:marBottom w:val="0"/>
      <w:divBdr>
        <w:top w:val="none" w:sz="0" w:space="0" w:color="auto"/>
        <w:left w:val="none" w:sz="0" w:space="0" w:color="auto"/>
        <w:bottom w:val="none" w:sz="0" w:space="0" w:color="auto"/>
        <w:right w:val="none" w:sz="0" w:space="0" w:color="auto"/>
      </w:divBdr>
    </w:div>
    <w:div w:id="1100292112">
      <w:bodyDiv w:val="1"/>
      <w:marLeft w:val="0"/>
      <w:marRight w:val="0"/>
      <w:marTop w:val="0"/>
      <w:marBottom w:val="0"/>
      <w:divBdr>
        <w:top w:val="none" w:sz="0" w:space="0" w:color="auto"/>
        <w:left w:val="none" w:sz="0" w:space="0" w:color="auto"/>
        <w:bottom w:val="none" w:sz="0" w:space="0" w:color="auto"/>
        <w:right w:val="none" w:sz="0" w:space="0" w:color="auto"/>
      </w:divBdr>
    </w:div>
    <w:div w:id="1107501370">
      <w:bodyDiv w:val="1"/>
      <w:marLeft w:val="0"/>
      <w:marRight w:val="0"/>
      <w:marTop w:val="0"/>
      <w:marBottom w:val="0"/>
      <w:divBdr>
        <w:top w:val="none" w:sz="0" w:space="0" w:color="auto"/>
        <w:left w:val="none" w:sz="0" w:space="0" w:color="auto"/>
        <w:bottom w:val="none" w:sz="0" w:space="0" w:color="auto"/>
        <w:right w:val="none" w:sz="0" w:space="0" w:color="auto"/>
      </w:divBdr>
    </w:div>
    <w:div w:id="1148090645">
      <w:bodyDiv w:val="1"/>
      <w:marLeft w:val="0"/>
      <w:marRight w:val="0"/>
      <w:marTop w:val="0"/>
      <w:marBottom w:val="0"/>
      <w:divBdr>
        <w:top w:val="none" w:sz="0" w:space="0" w:color="auto"/>
        <w:left w:val="none" w:sz="0" w:space="0" w:color="auto"/>
        <w:bottom w:val="none" w:sz="0" w:space="0" w:color="auto"/>
        <w:right w:val="none" w:sz="0" w:space="0" w:color="auto"/>
      </w:divBdr>
    </w:div>
    <w:div w:id="1295140845">
      <w:bodyDiv w:val="1"/>
      <w:marLeft w:val="0"/>
      <w:marRight w:val="0"/>
      <w:marTop w:val="0"/>
      <w:marBottom w:val="0"/>
      <w:divBdr>
        <w:top w:val="none" w:sz="0" w:space="0" w:color="auto"/>
        <w:left w:val="none" w:sz="0" w:space="0" w:color="auto"/>
        <w:bottom w:val="none" w:sz="0" w:space="0" w:color="auto"/>
        <w:right w:val="none" w:sz="0" w:space="0" w:color="auto"/>
      </w:divBdr>
    </w:div>
    <w:div w:id="1308514907">
      <w:bodyDiv w:val="1"/>
      <w:marLeft w:val="0"/>
      <w:marRight w:val="0"/>
      <w:marTop w:val="0"/>
      <w:marBottom w:val="0"/>
      <w:divBdr>
        <w:top w:val="none" w:sz="0" w:space="0" w:color="auto"/>
        <w:left w:val="none" w:sz="0" w:space="0" w:color="auto"/>
        <w:bottom w:val="none" w:sz="0" w:space="0" w:color="auto"/>
        <w:right w:val="none" w:sz="0" w:space="0" w:color="auto"/>
      </w:divBdr>
    </w:div>
    <w:div w:id="1690795884">
      <w:bodyDiv w:val="1"/>
      <w:marLeft w:val="0"/>
      <w:marRight w:val="0"/>
      <w:marTop w:val="0"/>
      <w:marBottom w:val="0"/>
      <w:divBdr>
        <w:top w:val="none" w:sz="0" w:space="0" w:color="auto"/>
        <w:left w:val="none" w:sz="0" w:space="0" w:color="auto"/>
        <w:bottom w:val="none" w:sz="0" w:space="0" w:color="auto"/>
        <w:right w:val="none" w:sz="0" w:space="0" w:color="auto"/>
      </w:divBdr>
      <w:divsChild>
        <w:div w:id="2118210228">
          <w:marLeft w:val="0"/>
          <w:marRight w:val="0"/>
          <w:marTop w:val="0"/>
          <w:marBottom w:val="0"/>
          <w:divBdr>
            <w:top w:val="none" w:sz="0" w:space="0" w:color="auto"/>
            <w:left w:val="none" w:sz="0" w:space="0" w:color="auto"/>
            <w:bottom w:val="none" w:sz="0" w:space="0" w:color="auto"/>
            <w:right w:val="none" w:sz="0" w:space="0" w:color="auto"/>
          </w:divBdr>
        </w:div>
      </w:divsChild>
    </w:div>
    <w:div w:id="1869952926">
      <w:bodyDiv w:val="1"/>
      <w:marLeft w:val="0"/>
      <w:marRight w:val="0"/>
      <w:marTop w:val="0"/>
      <w:marBottom w:val="0"/>
      <w:divBdr>
        <w:top w:val="none" w:sz="0" w:space="0" w:color="auto"/>
        <w:left w:val="none" w:sz="0" w:space="0" w:color="auto"/>
        <w:bottom w:val="none" w:sz="0" w:space="0" w:color="auto"/>
        <w:right w:val="none" w:sz="0" w:space="0" w:color="auto"/>
      </w:divBdr>
    </w:div>
    <w:div w:id="1955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1077-37C7-4C20-AC8E-0D7C18E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2428</Words>
  <Characters>14326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Wroblowský Petr</dc:creator>
  <cp:lastModifiedBy>Tisoňová Martina</cp:lastModifiedBy>
  <cp:revision>14</cp:revision>
  <cp:lastPrinted>2021-06-01T06:41:00Z</cp:lastPrinted>
  <dcterms:created xsi:type="dcterms:W3CDTF">2021-05-31T11:46:00Z</dcterms:created>
  <dcterms:modified xsi:type="dcterms:W3CDTF">2021-08-27T08:40:00Z</dcterms:modified>
</cp:coreProperties>
</file>