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7D03F"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6C8CDB06"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72BB62B9"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19C742A1"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0C53D1DD"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06A6C7AE"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4747211F"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0ECE83F9"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23A9958A"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3BDA9DCF"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4CE4DD6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030E6BA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5B456240"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0FD71702" w14:textId="77777777"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14:paraId="499A6578"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433379D8" w14:textId="77777777"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14:paraId="28D637B9" w14:textId="77777777"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14:paraId="3D248F65" w14:textId="77777777"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14:paraId="3E9DF1B4" w14:textId="77777777"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14:paraId="4C4E6254"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761F057B" w14:textId="77777777"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14:paraId="1F223F24" w14:textId="77777777"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14:paraId="7FDCFA80" w14:textId="77777777"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14:paraId="5B830A11" w14:textId="77777777"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14:paraId="4D261AE5"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49E2B289" w14:textId="77777777"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14:paraId="18E80877"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189976C7"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526E76F3" w14:textId="77777777" w:rsidR="00795E5C" w:rsidRPr="00936662" w:rsidRDefault="00304B36" w:rsidP="00F04121">
      <w:pPr>
        <w:pStyle w:val="Nadpis1"/>
      </w:pPr>
      <w:r>
        <w:br/>
      </w:r>
      <w:r w:rsidR="004D1482" w:rsidRPr="00936662">
        <w:t>Úvodní ustanovení</w:t>
      </w:r>
      <w:r w:rsidR="00E72E06" w:rsidRPr="00936662">
        <w:t xml:space="preserve"> </w:t>
      </w:r>
    </w:p>
    <w:p w14:paraId="72D62D21"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1D8E3790" w14:textId="10E1AC20"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w:t>
      </w:r>
      <w:r w:rsidR="009F7115" w:rsidRPr="006120DC">
        <w:rPr>
          <w:rFonts w:ascii="Times New Roman" w:hAnsi="Times New Roman"/>
          <w:sz w:val="22"/>
          <w:szCs w:val="22"/>
        </w:rPr>
        <w:t xml:space="preserve">dále změny související s čerpáním </w:t>
      </w:r>
      <w:proofErr w:type="gramStart"/>
      <w:r w:rsidR="009F7115" w:rsidRPr="006120DC">
        <w:rPr>
          <w:rFonts w:ascii="Times New Roman" w:hAnsi="Times New Roman"/>
          <w:sz w:val="22"/>
          <w:szCs w:val="22"/>
        </w:rPr>
        <w:t>dotace</w:t>
      </w:r>
      <w:r w:rsidR="009F7115">
        <w:rPr>
          <w:rFonts w:ascii="Times New Roman" w:hAnsi="Times New Roman"/>
          <w:sz w:val="22"/>
          <w:szCs w:val="22"/>
        </w:rPr>
        <w:t xml:space="preserve">, </w:t>
      </w:r>
      <w:r w:rsidR="009F7115" w:rsidRPr="004A50AA">
        <w:rPr>
          <w:rFonts w:ascii="Times New Roman" w:hAnsi="Times New Roman"/>
          <w:sz w:val="22"/>
          <w:szCs w:val="22"/>
        </w:rPr>
        <w:t xml:space="preserve"> </w:t>
      </w:r>
      <w:r w:rsidRPr="004A50AA">
        <w:rPr>
          <w:rFonts w:ascii="Times New Roman" w:hAnsi="Times New Roman"/>
          <w:sz w:val="22"/>
          <w:szCs w:val="22"/>
        </w:rPr>
        <w:t>nejpozději</w:t>
      </w:r>
      <w:proofErr w:type="gramEnd"/>
      <w:r w:rsidRPr="004A50AA">
        <w:rPr>
          <w:rFonts w:ascii="Times New Roman" w:hAnsi="Times New Roman"/>
          <w:sz w:val="22"/>
          <w:szCs w:val="22"/>
        </w:rPr>
        <w:t xml:space="preserve"> však do 30 dnů ode dne, kdy ke změně došlo. </w:t>
      </w:r>
    </w:p>
    <w:p w14:paraId="73F64A6E" w14:textId="52636965" w:rsidR="0037447F" w:rsidRPr="00E348C1"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E348C1">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r w:rsidR="00E348C1">
        <w:rPr>
          <w:rFonts w:ascii="Times New Roman" w:hAnsi="Times New Roman"/>
          <w:sz w:val="22"/>
          <w:szCs w:val="22"/>
        </w:rPr>
        <w:t xml:space="preserve"> a nařízením Komise (EU) 2020/972 ze dne 2. 7. 2020, kterým se mění nařízení (EU) č. 1407/20163, pokud jde o jeho prodloužení a nařízení (EU) č. 651/2014, pokud jde o jeho prodloužení a příslušné úpravy</w:t>
      </w:r>
      <w:r w:rsidRPr="00E348C1">
        <w:rPr>
          <w:rFonts w:ascii="Times New Roman" w:hAnsi="Times New Roman"/>
          <w:sz w:val="22"/>
          <w:szCs w:val="22"/>
        </w:rPr>
        <w:t>.</w:t>
      </w:r>
    </w:p>
    <w:p w14:paraId="4A9243DD"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lastRenderedPageBreak/>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68425052"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53104E3A"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9F7115">
        <w:rPr>
          <w:rFonts w:ascii="Times New Roman" w:hAnsi="Times New Roman"/>
          <w:sz w:val="22"/>
          <w:szCs w:val="22"/>
        </w:rPr>
        <w:t>9</w:t>
      </w:r>
      <w:r w:rsidRPr="009F7115">
        <w:rPr>
          <w:rFonts w:ascii="Times New Roman" w:hAnsi="Times New Roman"/>
          <w:sz w:val="22"/>
          <w:szCs w:val="22"/>
        </w:rPr>
        <w:t xml:space="preserve"> a </w:t>
      </w:r>
      <w:r w:rsidR="00946EBE" w:rsidRPr="009F7115">
        <w:rPr>
          <w:rFonts w:ascii="Times New Roman" w:hAnsi="Times New Roman"/>
          <w:sz w:val="22"/>
          <w:szCs w:val="22"/>
        </w:rPr>
        <w:t>1</w:t>
      </w:r>
      <w:r w:rsidR="00800CD4" w:rsidRPr="009F7115">
        <w:rPr>
          <w:rFonts w:ascii="Times New Roman" w:hAnsi="Times New Roman"/>
          <w:sz w:val="22"/>
          <w:szCs w:val="22"/>
        </w:rPr>
        <w:t>0</w:t>
      </w:r>
      <w:r w:rsidRPr="009F7115">
        <w:rPr>
          <w:rFonts w:ascii="Times New Roman" w:hAnsi="Times New Roman"/>
          <w:sz w:val="22"/>
          <w:szCs w:val="22"/>
        </w:rPr>
        <w:t xml:space="preserve"> článku</w:t>
      </w:r>
      <w:r w:rsidRPr="00800CD4">
        <w:rPr>
          <w:rFonts w:ascii="Times New Roman" w:hAnsi="Times New Roman"/>
          <w:sz w:val="22"/>
          <w:szCs w:val="22"/>
        </w:rPr>
        <w:t xml:space="preserve">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3395EB40" w14:textId="77777777" w:rsidR="00795E5C" w:rsidRPr="006120DC" w:rsidRDefault="000C60AC" w:rsidP="00936662">
      <w:pPr>
        <w:pStyle w:val="Nadpis1"/>
      </w:pPr>
      <w:r>
        <w:br/>
      </w:r>
      <w:r w:rsidR="00795E5C" w:rsidRPr="006120DC">
        <w:t>Předmět smlouvy</w:t>
      </w:r>
    </w:p>
    <w:p w14:paraId="196ECA79" w14:textId="77777777"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8E431A">
        <w:rPr>
          <w:rFonts w:ascii="Times New Roman" w:hAnsi="Times New Roman"/>
          <w:i/>
          <w:sz w:val="22"/>
          <w:szCs w:val="22"/>
        </w:rPr>
        <w:t>investiční/neinvestiční</w:t>
      </w:r>
      <w:r>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4A5A3DBA"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02FEE423"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0782C4D8" w14:textId="7C303DB7" w:rsidR="00BB43AB" w:rsidRPr="00BB43AB" w:rsidRDefault="00F6439E" w:rsidP="000755AD">
      <w:pPr>
        <w:numPr>
          <w:ilvl w:val="0"/>
          <w:numId w:val="2"/>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 xml:space="preserve">souladu s </w:t>
      </w:r>
      <w:r w:rsidR="00A31FA5" w:rsidRPr="00A31FA5">
        <w:rPr>
          <w:rFonts w:ascii="Times New Roman" w:hAnsi="Times New Roman"/>
          <w:sz w:val="22"/>
          <w:szCs w:val="22"/>
        </w:rPr>
        <w:t>Program</w:t>
      </w:r>
      <w:r w:rsidR="006D45A7">
        <w:rPr>
          <w:rFonts w:ascii="Times New Roman" w:hAnsi="Times New Roman"/>
          <w:sz w:val="22"/>
          <w:szCs w:val="22"/>
        </w:rPr>
        <w:t>em</w:t>
      </w:r>
      <w:r w:rsidR="00A31FA5" w:rsidRPr="00A31FA5">
        <w:rPr>
          <w:rFonts w:ascii="Times New Roman" w:hAnsi="Times New Roman"/>
          <w:sz w:val="22"/>
          <w:szCs w:val="22"/>
        </w:rPr>
        <w:t xml:space="preserve"> na podporu sportovní infrastruktury – výstavba, rekonstrukce, opravy na území statutárního města Ostravy v roce 2022</w:t>
      </w:r>
      <w:r w:rsidR="00A31FA5">
        <w:rPr>
          <w:rFonts w:ascii="Times New Roman" w:hAnsi="Times New Roman"/>
          <w:sz w:val="22"/>
          <w:szCs w:val="22"/>
        </w:rPr>
        <w:t xml:space="preserve"> </w:t>
      </w:r>
      <w:r w:rsidR="00A31FA5" w:rsidRPr="00A31FA5">
        <w:rPr>
          <w:rFonts w:ascii="Times New Roman" w:hAnsi="Times New Roman"/>
          <w:sz w:val="22"/>
          <w:szCs w:val="22"/>
        </w:rPr>
        <w:t>(</w:t>
      </w:r>
      <w:proofErr w:type="spellStart"/>
      <w:r w:rsidR="00A31FA5" w:rsidRPr="00A31FA5">
        <w:rPr>
          <w:rFonts w:ascii="Times New Roman" w:hAnsi="Times New Roman"/>
          <w:sz w:val="22"/>
          <w:szCs w:val="22"/>
        </w:rPr>
        <w:t>ŠaS</w:t>
      </w:r>
      <w:proofErr w:type="spellEnd"/>
      <w:r w:rsidR="00A31FA5" w:rsidRPr="00A31FA5">
        <w:rPr>
          <w:rFonts w:ascii="Times New Roman" w:hAnsi="Times New Roman"/>
          <w:sz w:val="22"/>
          <w:szCs w:val="22"/>
        </w:rPr>
        <w:t>/Sportovní infrastruktura)</w:t>
      </w:r>
      <w:r w:rsidR="00A31FA5" w:rsidRPr="00A31FA5">
        <w:rPr>
          <w:rFonts w:ascii="Times New Roman" w:hAnsi="Times New Roman"/>
          <w:sz w:val="18"/>
          <w:szCs w:val="18"/>
        </w:rPr>
        <w:t>,</w:t>
      </w:r>
      <w:r w:rsidRPr="008E2604">
        <w:rPr>
          <w:rFonts w:ascii="Times New Roman" w:hAnsi="Times New Roman"/>
          <w:i/>
          <w:iCs/>
          <w:color w:val="FF0000"/>
          <w:sz w:val="18"/>
          <w:szCs w:val="18"/>
        </w:rPr>
        <w:t xml:space="preserve"> </w:t>
      </w:r>
      <w:r w:rsidRPr="000F163A">
        <w:rPr>
          <w:rFonts w:ascii="Times New Roman" w:hAnsi="Times New Roman"/>
          <w:sz w:val="22"/>
          <w:szCs w:val="22"/>
        </w:rPr>
        <w:t>schváleným</w:t>
      </w:r>
      <w:r w:rsidRPr="005E4716">
        <w:rPr>
          <w:rFonts w:ascii="Times New Roman" w:hAnsi="Times New Roman"/>
          <w:sz w:val="22"/>
          <w:szCs w:val="22"/>
        </w:rPr>
        <w:t xml:space="preserve"> usnesením zastupitelstva města </w:t>
      </w:r>
      <w:r w:rsidRPr="008D48AC">
        <w:rPr>
          <w:rFonts w:ascii="Times New Roman" w:hAnsi="Times New Roman"/>
          <w:sz w:val="22"/>
          <w:szCs w:val="22"/>
        </w:rPr>
        <w:t>Ostravy č. </w:t>
      </w:r>
      <w:r w:rsidR="00D1456E">
        <w:rPr>
          <w:rFonts w:ascii="Times New Roman" w:hAnsi="Times New Roman"/>
          <w:bCs/>
          <w:sz w:val="22"/>
          <w:szCs w:val="22"/>
        </w:rPr>
        <w:t>1610</w:t>
      </w:r>
      <w:r w:rsidR="00D1456E" w:rsidRPr="000755AD">
        <w:rPr>
          <w:rFonts w:ascii="Times New Roman" w:hAnsi="Times New Roman"/>
          <w:bCs/>
          <w:sz w:val="22"/>
          <w:szCs w:val="22"/>
        </w:rPr>
        <w:t>/</w:t>
      </w:r>
      <w:r w:rsidR="008D48AC" w:rsidRPr="000755AD">
        <w:rPr>
          <w:rFonts w:ascii="Times New Roman" w:hAnsi="Times New Roman"/>
          <w:bCs/>
          <w:sz w:val="22"/>
          <w:szCs w:val="22"/>
        </w:rPr>
        <w:t>ZM</w:t>
      </w:r>
      <w:r w:rsidR="00D1456E">
        <w:rPr>
          <w:rFonts w:ascii="Times New Roman" w:hAnsi="Times New Roman"/>
          <w:bCs/>
          <w:sz w:val="22"/>
          <w:szCs w:val="22"/>
        </w:rPr>
        <w:t>1822</w:t>
      </w:r>
      <w:r w:rsidR="008D48AC" w:rsidRPr="000755AD">
        <w:rPr>
          <w:rFonts w:ascii="Times New Roman" w:hAnsi="Times New Roman"/>
          <w:bCs/>
          <w:sz w:val="22"/>
          <w:szCs w:val="22"/>
        </w:rPr>
        <w:t>/</w:t>
      </w:r>
      <w:r w:rsidR="00D1456E">
        <w:rPr>
          <w:rFonts w:ascii="Times New Roman" w:hAnsi="Times New Roman"/>
          <w:bCs/>
          <w:sz w:val="22"/>
          <w:szCs w:val="22"/>
        </w:rPr>
        <w:t xml:space="preserve">25 </w:t>
      </w:r>
      <w:r w:rsidRPr="000755AD">
        <w:rPr>
          <w:rFonts w:ascii="Times New Roman" w:hAnsi="Times New Roman"/>
          <w:sz w:val="22"/>
          <w:szCs w:val="22"/>
        </w:rPr>
        <w:t xml:space="preserve">ze dne </w:t>
      </w:r>
      <w:r w:rsidR="00D1456E">
        <w:rPr>
          <w:rFonts w:ascii="Times New Roman" w:hAnsi="Times New Roman"/>
          <w:sz w:val="22"/>
          <w:szCs w:val="22"/>
        </w:rPr>
        <w:t>15.09.2021</w:t>
      </w:r>
      <w:r w:rsidR="00D1456E" w:rsidRPr="000755AD">
        <w:rPr>
          <w:rFonts w:ascii="Times New Roman" w:hAnsi="Times New Roman"/>
          <w:sz w:val="22"/>
          <w:szCs w:val="22"/>
        </w:rPr>
        <w:t>.</w:t>
      </w:r>
      <w:r w:rsidR="00D1456E" w:rsidRPr="008D48AC">
        <w:rPr>
          <w:rFonts w:ascii="Times New Roman" w:hAnsi="Times New Roman"/>
          <w:sz w:val="22"/>
          <w:szCs w:val="22"/>
        </w:rPr>
        <w:t xml:space="preserve"> </w:t>
      </w:r>
      <w:r w:rsidRPr="008D48AC">
        <w:rPr>
          <w:rFonts w:ascii="Times New Roman" w:hAnsi="Times New Roman"/>
          <w:sz w:val="22"/>
          <w:szCs w:val="22"/>
        </w:rPr>
        <w:t>Pro pr</w:t>
      </w:r>
      <w:r>
        <w:rPr>
          <w:rFonts w:ascii="Times New Roman" w:hAnsi="Times New Roman"/>
          <w:sz w:val="22"/>
          <w:szCs w:val="22"/>
        </w:rPr>
        <w:t>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3EC659CE" w14:textId="5A943E0E" w:rsidR="008D48AC" w:rsidRPr="000755AD"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i/>
          <w:sz w:val="22"/>
          <w:szCs w:val="22"/>
        </w:rPr>
      </w:pPr>
      <w:r w:rsidRPr="000755AD">
        <w:rPr>
          <w:rFonts w:ascii="Times New Roman" w:hAnsi="Times New Roman"/>
          <w:i/>
          <w:sz w:val="22"/>
          <w:szCs w:val="22"/>
        </w:rPr>
        <w:t>Dotace podle této smlouvy je poskytnutím podpory podle pravidla „de minimis“ ve smyslu Nařízení Komise (EU) č. 1407/2013 ze dne 18. 12. 2013 o použití článku 107 a 108 Smlouvy o fungování Evropské unie na podporu de minimis, které bylo publikováno v Úředním věstníku Evropské unie dne 24. 12. 2013, pod L 352/1</w:t>
      </w:r>
      <w:r w:rsidR="00E348C1" w:rsidRPr="000755AD">
        <w:rPr>
          <w:rFonts w:ascii="Times New Roman" w:hAnsi="Times New Roman"/>
          <w:i/>
          <w:sz w:val="22"/>
          <w:szCs w:val="22"/>
        </w:rPr>
        <w:t>, jehož účinnost byla prodloužena nařízením Komise(EU) 2020/972 ze dne 2. 7. 2020, kterým se mění nařízení (EU) č. 1407/20163, pokud jde o jeho prodloužení a nařízení (EU) č. 651/2014, pokud jde o jeho prodloužení a příslušné úpravy</w:t>
      </w:r>
      <w:r w:rsidRPr="000755AD">
        <w:rPr>
          <w:rFonts w:ascii="Times New Roman" w:hAnsi="Times New Roman"/>
          <w:i/>
          <w:sz w:val="22"/>
          <w:szCs w:val="22"/>
        </w:rPr>
        <w:t xml:space="preserve">. </w:t>
      </w:r>
    </w:p>
    <w:p w14:paraId="5A6FFB4F" w14:textId="77777777"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0755AD">
        <w:rPr>
          <w:rFonts w:ascii="Times New Roman" w:hAnsi="Times New Roman"/>
          <w:i/>
          <w:sz w:val="22"/>
          <w:szCs w:val="22"/>
        </w:rPr>
        <w:t>Příjemce prohlašuje, že mu, resp. subjektům, které jsou s příjemcem dle čl. 2 odst. 2 Nařízení Komise (EU) čl. 1407/2013 považovány za jeden podnik, nebyla v posledních třech letech poskytnuta podpora de minimis, která by svou hodnotou, včetně této dotace, překročila částku v Kč odpovídající 200 000 EUR.</w:t>
      </w:r>
      <w:r w:rsidRPr="00393915">
        <w:rPr>
          <w:rFonts w:ascii="Times New Roman" w:hAnsi="Times New Roman"/>
          <w:i/>
          <w:sz w:val="22"/>
          <w:szCs w:val="22"/>
        </w:rPr>
        <w:t xml:space="preserve"> </w:t>
      </w:r>
    </w:p>
    <w:p w14:paraId="1508DB32" w14:textId="77777777"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393915">
        <w:rPr>
          <w:rFonts w:ascii="Times New Roman" w:hAnsi="Times New Roman"/>
          <w:i/>
          <w:sz w:val="22"/>
          <w:szCs w:val="22"/>
        </w:rPr>
        <w:t>Příjemce prohlašuje, že před uzavřením této smlouvy sdělil poskytovateli pravdivé a úplné informace o tom, zda v</w:t>
      </w:r>
      <w:r>
        <w:rPr>
          <w:rFonts w:ascii="Times New Roman" w:hAnsi="Times New Roman"/>
          <w:i/>
          <w:sz w:val="22"/>
          <w:szCs w:val="22"/>
        </w:rPr>
        <w:t> účetním období</w:t>
      </w:r>
      <w:r w:rsidRPr="00947C1B">
        <w:rPr>
          <w:rFonts w:ascii="Times New Roman" w:hAnsi="Times New Roman"/>
          <w:i/>
          <w:sz w:val="22"/>
          <w:szCs w:val="22"/>
        </w:rPr>
        <w:t xml:space="preserve">, ve kterém je uzavírána tato smlouva, a dvou bezprostředně předcházejících </w:t>
      </w:r>
      <w:r>
        <w:rPr>
          <w:rFonts w:ascii="Times New Roman" w:hAnsi="Times New Roman"/>
          <w:i/>
          <w:sz w:val="22"/>
          <w:szCs w:val="22"/>
        </w:rPr>
        <w:t>účetních obdobích</w:t>
      </w:r>
      <w:r w:rsidRPr="00947C1B">
        <w:rPr>
          <w:rFonts w:ascii="Times New Roman" w:hAnsi="Times New Roman"/>
          <w:i/>
          <w:sz w:val="22"/>
          <w:szCs w:val="22"/>
        </w:rPr>
        <w:t xml:space="preserve"> vznikl spojením podniků, nabytím podniku nebo rozdělením (rozštěpením nebo odštěpením) podniku, a tyto poskytnuté informace se ke dni uzavření této smlouvy nezměnily.</w:t>
      </w:r>
    </w:p>
    <w:p w14:paraId="0FCDCA4F" w14:textId="77777777" w:rsidR="004815AE"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0755AD">
        <w:rPr>
          <w:rFonts w:ascii="Times New Roman" w:hAnsi="Times New Roman"/>
          <w:i/>
          <w:sz w:val="22"/>
          <w:szCs w:val="22"/>
        </w:rPr>
        <w:t>Příjemce dále prohlašuje, že sdělil poskytovateli před uzavřením této smlouvy, zda naplňuje kritéria jednoho podniku definovaná v čl. 2 nařízení Komise (EU) č. 1407/2013 ze dne 18. prosince 2013 o použití článků 107 a 108 Smlouvy o fungování Evropské unie na podporu de minimis (uveřejněno v úředním věstníku EU dne 24. 12. 2013 č. L 352/1), včetně uvedení identifikace subjektů, s nimiž jeden podnik tvoří, a ke dni uzavření této smlouvy nedošlo ke změně těchto sdělených údajů.</w:t>
      </w:r>
    </w:p>
    <w:p w14:paraId="64D6F491" w14:textId="77777777" w:rsidR="00795E5C" w:rsidRPr="000C60AC" w:rsidRDefault="00E85938"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r w:rsidRPr="00895107">
        <w:rPr>
          <w:rFonts w:ascii="Times New Roman" w:hAnsi="Times New Roman"/>
          <w:color w:val="FF0000"/>
          <w:sz w:val="22"/>
          <w:szCs w:val="22"/>
        </w:rPr>
        <w:lastRenderedPageBreak/>
        <w:t>(</w:t>
      </w:r>
      <w:bookmarkStart w:id="0" w:name="_Hlk79564865"/>
      <w:r w:rsidR="00365D07" w:rsidRPr="00365D07">
        <w:rPr>
          <w:rFonts w:ascii="Times New Roman" w:hAnsi="Times New Roman"/>
          <w:i/>
          <w:color w:val="FF0000"/>
          <w:sz w:val="18"/>
          <w:szCs w:val="18"/>
        </w:rPr>
        <w:t>tento</w:t>
      </w:r>
      <w:r w:rsidR="00365D07">
        <w:rPr>
          <w:rFonts w:ascii="Times New Roman" w:hAnsi="Times New Roman"/>
          <w:color w:val="FF0000"/>
          <w:sz w:val="22"/>
          <w:szCs w:val="22"/>
        </w:rPr>
        <w:t xml:space="preserve">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sidR="00365D07">
        <w:rPr>
          <w:rFonts w:ascii="Times New Roman" w:hAnsi="Times New Roman"/>
          <w:i/>
          <w:color w:val="FF0000"/>
          <w:sz w:val="18"/>
          <w:szCs w:val="22"/>
        </w:rPr>
        <w:t>5</w:t>
      </w:r>
      <w:r w:rsidRPr="006F47AD">
        <w:rPr>
          <w:rFonts w:ascii="Times New Roman" w:hAnsi="Times New Roman"/>
          <w:i/>
          <w:color w:val="FF0000"/>
          <w:sz w:val="18"/>
          <w:szCs w:val="22"/>
        </w:rPr>
        <w:t xml:space="preserve"> se použije pouze v případě, že je dotace </w:t>
      </w:r>
      <w:bookmarkEnd w:id="0"/>
      <w:r w:rsidRPr="006F47AD">
        <w:rPr>
          <w:rFonts w:ascii="Times New Roman" w:hAnsi="Times New Roman"/>
          <w:i/>
          <w:color w:val="FF0000"/>
          <w:sz w:val="18"/>
          <w:szCs w:val="22"/>
        </w:rPr>
        <w:t>poskytnutím podpory dle pravidla „de minimis</w:t>
      </w:r>
      <w:r w:rsidRPr="00895107">
        <w:rPr>
          <w:rFonts w:ascii="Times New Roman" w:hAnsi="Times New Roman"/>
          <w:i/>
          <w:color w:val="FF0000"/>
          <w:sz w:val="22"/>
          <w:szCs w:val="22"/>
        </w:rPr>
        <w:t>“).</w:t>
      </w:r>
    </w:p>
    <w:p w14:paraId="25713D89" w14:textId="77777777" w:rsidR="00795E5C" w:rsidRPr="00936662" w:rsidRDefault="000C60AC" w:rsidP="000C25F7">
      <w:pPr>
        <w:pStyle w:val="Nadpis1"/>
        <w:keepNext/>
      </w:pPr>
      <w:r>
        <w:br/>
      </w:r>
      <w:bookmarkStart w:id="1" w:name="_Ref519705955"/>
      <w:r w:rsidR="00795E5C" w:rsidRPr="00936662">
        <w:t>Účel dotace</w:t>
      </w:r>
      <w:bookmarkEnd w:id="1"/>
    </w:p>
    <w:p w14:paraId="045288F7"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6D5D1730" w14:textId="77777777"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0755AD">
        <w:rPr>
          <w:rFonts w:ascii="Times New Roman" w:hAnsi="Times New Roman"/>
          <w:i/>
          <w:color w:val="FF0000"/>
          <w:sz w:val="18"/>
          <w:szCs w:val="18"/>
        </w:rPr>
        <w:t>(bude doplněno dle skutečnosti)</w:t>
      </w:r>
    </w:p>
    <w:p w14:paraId="2E18EC43" w14:textId="77777777"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0D2C99D0" w14:textId="02C0DAC6" w:rsidR="001A5A0F" w:rsidRDefault="00AA5CAF" w:rsidP="00705C24">
      <w:pPr>
        <w:pStyle w:val="Odstavecseseznamem"/>
        <w:numPr>
          <w:ilvl w:val="0"/>
          <w:numId w:val="8"/>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 xml:space="preserve">uznatelné </w:t>
      </w:r>
      <w:r w:rsidR="00FC1992">
        <w:rPr>
          <w:rFonts w:ascii="Times New Roman" w:hAnsi="Times New Roman"/>
          <w:i/>
          <w:color w:val="FF0000"/>
          <w:sz w:val="18"/>
          <w:szCs w:val="18"/>
        </w:rPr>
        <w:t>položky rozpočtu eventuálně s vymezením finančního limitu v Kč</w:t>
      </w:r>
      <w:r w:rsidR="00351B8A" w:rsidRPr="00817333">
        <w:rPr>
          <w:rFonts w:ascii="Times New Roman" w:hAnsi="Times New Roman"/>
          <w:i/>
          <w:color w:val="FF0000"/>
          <w:sz w:val="18"/>
          <w:szCs w:val="18"/>
        </w:rPr>
        <w:t>)</w:t>
      </w:r>
      <w:r w:rsidR="00A3199E">
        <w:rPr>
          <w:rFonts w:ascii="Times New Roman" w:hAnsi="Times New Roman"/>
          <w:color w:val="FF0000"/>
          <w:sz w:val="18"/>
          <w:szCs w:val="18"/>
        </w:rPr>
        <w:t>.</w:t>
      </w:r>
    </w:p>
    <w:p w14:paraId="03158161" w14:textId="77777777" w:rsidR="00AA5CAF" w:rsidRPr="00817333" w:rsidRDefault="00AA5CAF" w:rsidP="00AA5CAF">
      <w:pPr>
        <w:pStyle w:val="Odstavecseseznamem"/>
        <w:tabs>
          <w:tab w:val="left" w:pos="0"/>
        </w:tabs>
        <w:ind w:left="284"/>
        <w:jc w:val="both"/>
        <w:rPr>
          <w:rFonts w:ascii="Times New Roman" w:hAnsi="Times New Roman"/>
          <w:b/>
          <w:sz w:val="22"/>
          <w:szCs w:val="22"/>
        </w:rPr>
      </w:pPr>
    </w:p>
    <w:p w14:paraId="6B111E48" w14:textId="77777777" w:rsidR="00E85938" w:rsidRPr="00155BD4"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sidRPr="00155BD4">
        <w:rPr>
          <w:rFonts w:ascii="Times New Roman" w:hAnsi="Times New Roman"/>
          <w:sz w:val="22"/>
          <w:szCs w:val="22"/>
        </w:rPr>
        <w:t>Příjemce je oprávněn čerpat</w:t>
      </w:r>
      <w:r w:rsidRPr="00155BD4">
        <w:rPr>
          <w:rFonts w:ascii="Times New Roman" w:hAnsi="Times New Roman"/>
          <w:i/>
          <w:sz w:val="22"/>
          <w:szCs w:val="22"/>
        </w:rPr>
        <w:t xml:space="preserve"> </w:t>
      </w:r>
      <w:r w:rsidRPr="00155BD4">
        <w:rPr>
          <w:rFonts w:ascii="Times New Roman" w:hAnsi="Times New Roman"/>
          <w:sz w:val="22"/>
          <w:szCs w:val="22"/>
        </w:rPr>
        <w:t>ke stejnému účelu peněžní prostředky z jiných zdrojů.</w:t>
      </w:r>
    </w:p>
    <w:p w14:paraId="0F8E2AE5" w14:textId="77777777" w:rsidR="00117ED2" w:rsidRPr="00455C85" w:rsidRDefault="00117ED2" w:rsidP="009058FF">
      <w:pPr>
        <w:tabs>
          <w:tab w:val="left" w:pos="0"/>
          <w:tab w:val="left" w:leader="underscore" w:pos="4706"/>
          <w:tab w:val="left" w:pos="4990"/>
          <w:tab w:val="left" w:leader="underscore" w:pos="9639"/>
        </w:tabs>
        <w:spacing w:before="120"/>
        <w:jc w:val="both"/>
        <w:rPr>
          <w:rFonts w:ascii="Times New Roman" w:hAnsi="Times New Roman"/>
          <w:sz w:val="22"/>
          <w:szCs w:val="22"/>
        </w:rPr>
      </w:pPr>
      <w:r w:rsidRPr="00155BD4">
        <w:rPr>
          <w:rFonts w:ascii="Times New Roman" w:hAnsi="Times New Roman"/>
          <w:sz w:val="22"/>
        </w:rPr>
        <w:t xml:space="preserve">Stanoveného účelu je příjemce povinen dosáhnout </w:t>
      </w:r>
      <w:r w:rsidRPr="00155BD4">
        <w:rPr>
          <w:rFonts w:ascii="Times New Roman" w:hAnsi="Times New Roman"/>
          <w:b/>
          <w:sz w:val="22"/>
        </w:rPr>
        <w:t>do …</w:t>
      </w:r>
      <w:r w:rsidRPr="00155BD4">
        <w:rPr>
          <w:rFonts w:ascii="Times New Roman" w:hAnsi="Times New Roman"/>
          <w:sz w:val="22"/>
        </w:rPr>
        <w:t xml:space="preserve"> </w:t>
      </w:r>
      <w:r w:rsidRPr="00155BD4">
        <w:rPr>
          <w:rFonts w:ascii="Times New Roman" w:hAnsi="Times New Roman"/>
          <w:i/>
          <w:color w:val="FF0000"/>
          <w:sz w:val="22"/>
        </w:rPr>
        <w:t>(</w:t>
      </w:r>
      <w:r w:rsidRPr="00155BD4">
        <w:rPr>
          <w:rFonts w:ascii="Times New Roman" w:hAnsi="Times New Roman"/>
          <w:i/>
          <w:color w:val="FF0000"/>
          <w:sz w:val="18"/>
        </w:rPr>
        <w:t>termín bude doplněn dle charakteru daného projektu</w:t>
      </w:r>
      <w:r w:rsidRPr="00155BD4">
        <w:rPr>
          <w:rFonts w:ascii="Times New Roman" w:hAnsi="Times New Roman"/>
          <w:i/>
          <w:color w:val="FF0000"/>
        </w:rPr>
        <w:t>).</w:t>
      </w:r>
    </w:p>
    <w:p w14:paraId="5C1048D7" w14:textId="77777777" w:rsidR="00AA5CAF" w:rsidRPr="00936662" w:rsidRDefault="000C60AC" w:rsidP="00936662">
      <w:pPr>
        <w:pStyle w:val="Nadpis1"/>
      </w:pPr>
      <w:r>
        <w:br/>
      </w:r>
      <w:r w:rsidR="00AA5CAF" w:rsidRPr="00936662">
        <w:t>Výše dotace</w:t>
      </w:r>
    </w:p>
    <w:p w14:paraId="315746F7" w14:textId="77F06F81" w:rsidR="004815AE" w:rsidRDefault="00AA5CAF" w:rsidP="00D024D0">
      <w:pPr>
        <w:tabs>
          <w:tab w:val="left" w:pos="0"/>
          <w:tab w:val="left" w:leader="underscore" w:pos="4706"/>
          <w:tab w:val="left" w:pos="4990"/>
          <w:tab w:val="left" w:leader="underscore" w:pos="9639"/>
        </w:tabs>
        <w:jc w:val="both"/>
        <w:rPr>
          <w:rFonts w:ascii="Times New Roman" w:hAnsi="Times New Roman"/>
          <w:sz w:val="22"/>
          <w:szCs w:val="22"/>
        </w:rPr>
      </w:pPr>
      <w:r w:rsidRPr="00D024D0">
        <w:rPr>
          <w:rFonts w:ascii="Times New Roman" w:hAnsi="Times New Roman"/>
          <w:sz w:val="22"/>
          <w:szCs w:val="22"/>
        </w:rPr>
        <w:t xml:space="preserve">Dotace se příjemci poskytuje v celkové výši </w:t>
      </w:r>
      <w:r w:rsidRPr="00D024D0">
        <w:rPr>
          <w:rFonts w:ascii="Times New Roman" w:hAnsi="Times New Roman"/>
          <w:b/>
          <w:sz w:val="22"/>
          <w:szCs w:val="22"/>
        </w:rPr>
        <w:t>………………</w:t>
      </w:r>
      <w:proofErr w:type="gramStart"/>
      <w:r w:rsidRPr="00D024D0">
        <w:rPr>
          <w:rFonts w:ascii="Times New Roman" w:hAnsi="Times New Roman"/>
          <w:b/>
          <w:sz w:val="22"/>
          <w:szCs w:val="22"/>
        </w:rPr>
        <w:t>…,-</w:t>
      </w:r>
      <w:proofErr w:type="gramEnd"/>
      <w:r w:rsidRPr="00D024D0">
        <w:rPr>
          <w:rFonts w:ascii="Times New Roman" w:hAnsi="Times New Roman"/>
          <w:b/>
          <w:sz w:val="22"/>
          <w:szCs w:val="22"/>
        </w:rPr>
        <w:t> Kč</w:t>
      </w:r>
      <w:r w:rsidRPr="00D024D0">
        <w:rPr>
          <w:rFonts w:ascii="Times New Roman" w:hAnsi="Times New Roman"/>
          <w:sz w:val="22"/>
          <w:szCs w:val="22"/>
        </w:rPr>
        <w:t xml:space="preserve">, slovy </w:t>
      </w:r>
      <w:r w:rsidRPr="00D024D0">
        <w:rPr>
          <w:rFonts w:ascii="Times New Roman" w:hAnsi="Times New Roman"/>
          <w:b/>
          <w:sz w:val="22"/>
          <w:szCs w:val="22"/>
        </w:rPr>
        <w:t>………………….</w:t>
      </w:r>
      <w:r w:rsidRPr="00D024D0">
        <w:rPr>
          <w:rFonts w:ascii="Times New Roman" w:hAnsi="Times New Roman"/>
          <w:sz w:val="22"/>
          <w:szCs w:val="22"/>
        </w:rPr>
        <w:t xml:space="preserve"> korun českých. Peněžní prostředky budou bezhotovostně převedeny na účet příjemce uvedený v záhlaví této </w:t>
      </w:r>
      <w:r w:rsidR="00712813" w:rsidRPr="00D024D0">
        <w:rPr>
          <w:rFonts w:ascii="Times New Roman" w:hAnsi="Times New Roman"/>
          <w:sz w:val="22"/>
          <w:szCs w:val="22"/>
        </w:rPr>
        <w:t>smlouvy</w:t>
      </w:r>
      <w:r w:rsidR="00FC1992">
        <w:rPr>
          <w:rFonts w:ascii="Times New Roman" w:hAnsi="Times New Roman"/>
          <w:sz w:val="22"/>
          <w:szCs w:val="22"/>
        </w:rPr>
        <w:t xml:space="preserve">, </w:t>
      </w:r>
      <w:r w:rsidRPr="00D024D0">
        <w:rPr>
          <w:rFonts w:ascii="Times New Roman" w:hAnsi="Times New Roman"/>
          <w:sz w:val="22"/>
          <w:szCs w:val="22"/>
        </w:rPr>
        <w:t>a to</w:t>
      </w:r>
      <w:r w:rsidR="00FC1992">
        <w:rPr>
          <w:rFonts w:ascii="Times New Roman" w:hAnsi="Times New Roman"/>
          <w:sz w:val="22"/>
          <w:szCs w:val="22"/>
        </w:rPr>
        <w:t>:</w:t>
      </w:r>
    </w:p>
    <w:p w14:paraId="57ED7363" w14:textId="77777777" w:rsidR="00FC1992" w:rsidRPr="00455C85" w:rsidRDefault="00FC1992" w:rsidP="00FC1992">
      <w:pPr>
        <w:numPr>
          <w:ilvl w:val="0"/>
          <w:numId w:val="18"/>
        </w:numPr>
        <w:jc w:val="both"/>
        <w:rPr>
          <w:rFonts w:ascii="Times New Roman" w:hAnsi="Times New Roman"/>
          <w:i/>
          <w:sz w:val="22"/>
          <w:szCs w:val="22"/>
        </w:rPr>
      </w:pPr>
      <w:r w:rsidRPr="00455C85">
        <w:rPr>
          <w:rFonts w:ascii="Times New Roman" w:hAnsi="Times New Roman"/>
          <w:i/>
          <w:sz w:val="22"/>
          <w:szCs w:val="22"/>
        </w:rPr>
        <w:t>jednorázově do 15 dnů po nabytí účinnosti této smlouvy. Platba se považuje za uskutečněnou dnem odepsání příslušné částky z účtu poskytovatele.</w:t>
      </w:r>
    </w:p>
    <w:p w14:paraId="4B70935A" w14:textId="77777777" w:rsidR="00FC1992" w:rsidRPr="00455C85" w:rsidRDefault="00FC1992" w:rsidP="00FC1992">
      <w:pPr>
        <w:numPr>
          <w:ilvl w:val="0"/>
          <w:numId w:val="18"/>
        </w:numPr>
        <w:jc w:val="both"/>
        <w:rPr>
          <w:rFonts w:ascii="Times New Roman" w:hAnsi="Times New Roman"/>
          <w:bCs/>
          <w:sz w:val="22"/>
          <w:szCs w:val="22"/>
        </w:rPr>
      </w:pPr>
      <w:r w:rsidRPr="00455C85">
        <w:rPr>
          <w:rFonts w:ascii="Times New Roman" w:hAnsi="Times New Roman"/>
          <w:i/>
          <w:sz w:val="22"/>
          <w:szCs w:val="22"/>
        </w:rPr>
        <w:t xml:space="preserve">ve dvou splátkách. První splátka ve výši jedné poloviny poskytnuté dotace bude převedena do 15 dnů po nabytí účinnosti této smlouvy. Druhá splátka bude převedena: </w:t>
      </w:r>
    </w:p>
    <w:p w14:paraId="38D1BD3C" w14:textId="63B313F9" w:rsidR="00FC1992" w:rsidRPr="007C3454" w:rsidRDefault="00FC1992" w:rsidP="00FC1992">
      <w:pPr>
        <w:ind w:left="720"/>
        <w:jc w:val="both"/>
        <w:rPr>
          <w:rFonts w:ascii="Times New Roman" w:hAnsi="Times New Roman"/>
          <w:i/>
          <w:sz w:val="22"/>
          <w:szCs w:val="22"/>
        </w:rPr>
      </w:pPr>
      <w:r w:rsidRPr="00455C85">
        <w:rPr>
          <w:rFonts w:ascii="Times New Roman" w:hAnsi="Times New Roman"/>
          <w:i/>
          <w:sz w:val="22"/>
          <w:szCs w:val="22"/>
        </w:rPr>
        <w:t xml:space="preserve">a) </w:t>
      </w:r>
      <w:r>
        <w:rPr>
          <w:rFonts w:ascii="Times New Roman" w:hAnsi="Times New Roman"/>
          <w:i/>
          <w:sz w:val="22"/>
          <w:szCs w:val="22"/>
        </w:rPr>
        <w:t xml:space="preserve">po doložení </w:t>
      </w:r>
      <w:r w:rsidRPr="00455C85">
        <w:rPr>
          <w:rFonts w:ascii="Times New Roman" w:hAnsi="Times New Roman"/>
          <w:i/>
          <w:sz w:val="22"/>
          <w:szCs w:val="22"/>
        </w:rPr>
        <w:t xml:space="preserve">čestného prohlášení o bezdlužnosti příjemce </w:t>
      </w:r>
      <w:r>
        <w:rPr>
          <w:rFonts w:ascii="Times New Roman" w:hAnsi="Times New Roman"/>
          <w:i/>
          <w:sz w:val="22"/>
          <w:szCs w:val="22"/>
        </w:rPr>
        <w:t xml:space="preserve">za předchozí období roku </w:t>
      </w:r>
      <w:r w:rsidRPr="00455C85">
        <w:rPr>
          <w:rFonts w:ascii="Times New Roman" w:hAnsi="Times New Roman"/>
          <w:i/>
          <w:sz w:val="22"/>
          <w:szCs w:val="22"/>
        </w:rPr>
        <w:t xml:space="preserve">vůči </w:t>
      </w:r>
      <w:r>
        <w:rPr>
          <w:rFonts w:ascii="Times New Roman" w:hAnsi="Times New Roman"/>
          <w:i/>
          <w:sz w:val="22"/>
          <w:szCs w:val="22"/>
        </w:rPr>
        <w:t>poskytovateli</w:t>
      </w:r>
      <w:r w:rsidRPr="00455C85">
        <w:rPr>
          <w:rFonts w:ascii="Times New Roman" w:hAnsi="Times New Roman"/>
          <w:i/>
          <w:sz w:val="22"/>
          <w:szCs w:val="22"/>
        </w:rPr>
        <w:t xml:space="preserve"> a </w:t>
      </w:r>
      <w:r w:rsidRPr="00455C85">
        <w:rPr>
          <w:rFonts w:ascii="Times New Roman" w:hAnsi="Times New Roman"/>
          <w:bCs/>
          <w:i/>
          <w:sz w:val="22"/>
          <w:szCs w:val="22"/>
        </w:rPr>
        <w:t>obchodním společnostem s majetkovou účastí poskytovatele a příspěvkovým organizacím, jejichž zřizovatelem je poskytovatel a sportovním zařízením provozovanými městskými obvody. Termín pro předložení čestného prohlášení je</w:t>
      </w:r>
      <w:r>
        <w:rPr>
          <w:rFonts w:ascii="Times New Roman" w:hAnsi="Times New Roman"/>
          <w:bCs/>
          <w:i/>
          <w:sz w:val="22"/>
          <w:szCs w:val="22"/>
        </w:rPr>
        <w:t xml:space="preserve"> do</w:t>
      </w:r>
      <w:r w:rsidRPr="00455C85">
        <w:t xml:space="preserve"> ……………</w:t>
      </w:r>
      <w:r w:rsidRPr="00455C85">
        <w:rPr>
          <w:rFonts w:ascii="Times New Roman" w:hAnsi="Times New Roman"/>
          <w:i/>
          <w:sz w:val="22"/>
          <w:szCs w:val="22"/>
        </w:rPr>
        <w:t xml:space="preserve"> </w:t>
      </w:r>
      <w:r w:rsidRPr="00742BE6">
        <w:rPr>
          <w:rFonts w:ascii="Times New Roman" w:hAnsi="Times New Roman"/>
          <w:i/>
          <w:color w:val="FF0000"/>
          <w:sz w:val="18"/>
          <w:szCs w:val="22"/>
        </w:rPr>
        <w:t>(termín bude doplněn dle charakteru daného projektu)</w:t>
      </w:r>
      <w:r>
        <w:rPr>
          <w:rFonts w:ascii="Times New Roman" w:hAnsi="Times New Roman"/>
          <w:i/>
          <w:sz w:val="22"/>
          <w:szCs w:val="22"/>
        </w:rPr>
        <w:t xml:space="preserve"> a za </w:t>
      </w:r>
      <w:r w:rsidRPr="00455C85">
        <w:rPr>
          <w:rFonts w:ascii="Times New Roman" w:hAnsi="Times New Roman"/>
          <w:bCs/>
          <w:i/>
          <w:sz w:val="22"/>
          <w:szCs w:val="22"/>
        </w:rPr>
        <w:t>b)</w:t>
      </w:r>
      <w:r w:rsidRPr="00455C85">
        <w:rPr>
          <w:rFonts w:ascii="Times New Roman" w:hAnsi="Times New Roman"/>
          <w:bCs/>
          <w:sz w:val="22"/>
          <w:szCs w:val="22"/>
        </w:rPr>
        <w:t xml:space="preserve"> </w:t>
      </w:r>
      <w:r w:rsidRPr="00455C85">
        <w:rPr>
          <w:rFonts w:ascii="Times New Roman" w:hAnsi="Times New Roman"/>
          <w:bCs/>
          <w:i/>
          <w:sz w:val="22"/>
          <w:szCs w:val="22"/>
        </w:rPr>
        <w:t>po</w:t>
      </w:r>
      <w:r w:rsidRPr="00455C85">
        <w:rPr>
          <w:rFonts w:ascii="Times New Roman" w:hAnsi="Times New Roman"/>
          <w:bCs/>
          <w:sz w:val="22"/>
          <w:szCs w:val="22"/>
        </w:rPr>
        <w:t xml:space="preserve"> </w:t>
      </w:r>
      <w:r w:rsidRPr="00455C85">
        <w:rPr>
          <w:rFonts w:ascii="Times New Roman" w:hAnsi="Times New Roman"/>
          <w:bCs/>
          <w:i/>
          <w:sz w:val="22"/>
          <w:szCs w:val="22"/>
        </w:rPr>
        <w:t>předložení průběžného finančního vypořádání poskytovateli,</w:t>
      </w:r>
      <w:r w:rsidRPr="00455C85">
        <w:rPr>
          <w:rFonts w:ascii="Times New Roman" w:hAnsi="Times New Roman"/>
          <w:b/>
          <w:bCs/>
          <w:i/>
          <w:sz w:val="22"/>
          <w:szCs w:val="22"/>
        </w:rPr>
        <w:t xml:space="preserve"> </w:t>
      </w:r>
      <w:r w:rsidRPr="00455C85">
        <w:rPr>
          <w:rFonts w:ascii="Times New Roman" w:hAnsi="Times New Roman"/>
          <w:bCs/>
          <w:i/>
          <w:sz w:val="22"/>
          <w:szCs w:val="22"/>
        </w:rPr>
        <w:t>tj. průběžné</w:t>
      </w:r>
      <w:r>
        <w:rPr>
          <w:rFonts w:ascii="Times New Roman" w:hAnsi="Times New Roman"/>
          <w:bCs/>
          <w:i/>
          <w:sz w:val="22"/>
          <w:szCs w:val="22"/>
        </w:rPr>
        <w:t>ho</w:t>
      </w:r>
      <w:r w:rsidRPr="00455C85">
        <w:rPr>
          <w:rFonts w:ascii="Times New Roman" w:hAnsi="Times New Roman"/>
          <w:bCs/>
          <w:i/>
          <w:sz w:val="22"/>
          <w:szCs w:val="22"/>
        </w:rPr>
        <w:t xml:space="preserve"> vyúčtování dotace do</w:t>
      </w:r>
      <w:r>
        <w:rPr>
          <w:rFonts w:ascii="Times New Roman" w:hAnsi="Times New Roman"/>
          <w:b/>
          <w:bCs/>
          <w:i/>
          <w:sz w:val="22"/>
          <w:szCs w:val="22"/>
        </w:rPr>
        <w:t>…</w:t>
      </w:r>
      <w:proofErr w:type="gramStart"/>
      <w:r>
        <w:rPr>
          <w:rFonts w:ascii="Times New Roman" w:hAnsi="Times New Roman"/>
          <w:b/>
          <w:bCs/>
          <w:i/>
          <w:sz w:val="22"/>
          <w:szCs w:val="22"/>
        </w:rPr>
        <w:t>…….</w:t>
      </w:r>
      <w:proofErr w:type="gramEnd"/>
      <w:r>
        <w:rPr>
          <w:rFonts w:ascii="Times New Roman" w:hAnsi="Times New Roman"/>
          <w:b/>
          <w:bCs/>
          <w:i/>
          <w:sz w:val="22"/>
          <w:szCs w:val="22"/>
        </w:rPr>
        <w:t>.</w:t>
      </w:r>
      <w:r w:rsidRPr="00132B09">
        <w:rPr>
          <w:rFonts w:ascii="Times New Roman" w:hAnsi="Times New Roman"/>
          <w:i/>
          <w:color w:val="FF0000"/>
          <w:sz w:val="18"/>
          <w:szCs w:val="22"/>
        </w:rPr>
        <w:t>(</w:t>
      </w:r>
      <w:r>
        <w:rPr>
          <w:rFonts w:ascii="Times New Roman" w:hAnsi="Times New Roman"/>
          <w:i/>
          <w:color w:val="FF0000"/>
          <w:sz w:val="18"/>
          <w:szCs w:val="22"/>
        </w:rPr>
        <w:t>termín bude doplněn</w:t>
      </w:r>
      <w:r w:rsidRPr="00132B09">
        <w:rPr>
          <w:rFonts w:ascii="Times New Roman" w:hAnsi="Times New Roman"/>
          <w:i/>
          <w:color w:val="FF0000"/>
          <w:sz w:val="18"/>
          <w:szCs w:val="22"/>
        </w:rPr>
        <w:t xml:space="preserve"> dle </w:t>
      </w:r>
      <w:r>
        <w:rPr>
          <w:rFonts w:ascii="Times New Roman" w:hAnsi="Times New Roman"/>
          <w:i/>
          <w:color w:val="FF0000"/>
          <w:sz w:val="18"/>
          <w:szCs w:val="22"/>
        </w:rPr>
        <w:t>charakteru daného projektu</w:t>
      </w:r>
      <w:r w:rsidRPr="00132B09">
        <w:rPr>
          <w:rFonts w:ascii="Times New Roman" w:hAnsi="Times New Roman"/>
          <w:i/>
          <w:color w:val="FF0000"/>
          <w:sz w:val="18"/>
          <w:szCs w:val="22"/>
        </w:rPr>
        <w:t>)</w:t>
      </w:r>
      <w:r w:rsidRPr="00455C85">
        <w:rPr>
          <w:rFonts w:ascii="Times New Roman" w:hAnsi="Times New Roman"/>
          <w:b/>
          <w:bCs/>
          <w:i/>
          <w:sz w:val="22"/>
          <w:szCs w:val="22"/>
        </w:rPr>
        <w:t xml:space="preserve">, </w:t>
      </w:r>
      <w:r w:rsidRPr="00455C85">
        <w:rPr>
          <w:rFonts w:ascii="Times New Roman" w:hAnsi="Times New Roman"/>
          <w:bCs/>
          <w:i/>
          <w:sz w:val="22"/>
          <w:szCs w:val="22"/>
        </w:rPr>
        <w:t>ve výši minimálně 30% poskytnuté dotace/1. splátky poskytnuté dotace</w:t>
      </w:r>
      <w:r>
        <w:rPr>
          <w:rFonts w:ascii="Times New Roman" w:hAnsi="Times New Roman"/>
          <w:bCs/>
          <w:i/>
          <w:sz w:val="22"/>
          <w:szCs w:val="22"/>
        </w:rPr>
        <w:t>.</w:t>
      </w:r>
      <w:r>
        <w:rPr>
          <w:rFonts w:ascii="Times New Roman" w:hAnsi="Times New Roman"/>
          <w:sz w:val="22"/>
          <w:szCs w:val="22"/>
        </w:rPr>
        <w:t xml:space="preserve"> </w:t>
      </w:r>
      <w:r w:rsidRPr="009C2B8F">
        <w:rPr>
          <w:rFonts w:ascii="Times New Roman" w:hAnsi="Times New Roman"/>
          <w:i/>
          <w:sz w:val="22"/>
          <w:szCs w:val="22"/>
        </w:rPr>
        <w:t>Platba se považuje za uskutečněnou dnem odepsání příslušné částky z účtu poskytovatele.</w:t>
      </w:r>
    </w:p>
    <w:p w14:paraId="5DF2A72A" w14:textId="77777777" w:rsidR="00FC1992" w:rsidRDefault="00FC1992" w:rsidP="00D024D0">
      <w:pPr>
        <w:tabs>
          <w:tab w:val="left" w:pos="0"/>
          <w:tab w:val="left" w:leader="underscore" w:pos="4706"/>
          <w:tab w:val="left" w:pos="4990"/>
          <w:tab w:val="left" w:leader="underscore" w:pos="9639"/>
        </w:tabs>
        <w:jc w:val="both"/>
        <w:rPr>
          <w:rFonts w:ascii="Times New Roman" w:hAnsi="Times New Roman"/>
          <w:sz w:val="22"/>
          <w:szCs w:val="22"/>
        </w:rPr>
      </w:pPr>
    </w:p>
    <w:p w14:paraId="2F88658E" w14:textId="77777777" w:rsidR="00FC1992" w:rsidRPr="00D024D0" w:rsidRDefault="00FC1992" w:rsidP="00D024D0">
      <w:pPr>
        <w:tabs>
          <w:tab w:val="left" w:pos="0"/>
          <w:tab w:val="left" w:leader="underscore" w:pos="4706"/>
          <w:tab w:val="left" w:pos="4990"/>
          <w:tab w:val="left" w:leader="underscore" w:pos="9639"/>
        </w:tabs>
        <w:jc w:val="both"/>
        <w:rPr>
          <w:rFonts w:ascii="Times New Roman" w:hAnsi="Times New Roman"/>
          <w:sz w:val="22"/>
          <w:szCs w:val="22"/>
        </w:rPr>
      </w:pPr>
    </w:p>
    <w:p w14:paraId="55A40392" w14:textId="77777777" w:rsidR="00795E5C" w:rsidRPr="006120DC" w:rsidRDefault="000C60AC" w:rsidP="003B3812">
      <w:pPr>
        <w:pStyle w:val="Nadpis1"/>
      </w:pPr>
      <w:r>
        <w:br/>
      </w:r>
      <w:bookmarkStart w:id="2" w:name="_Ref519703308"/>
      <w:r w:rsidR="00795E5C" w:rsidRPr="006120DC">
        <w:t>Podmínky použití dotace</w:t>
      </w:r>
      <w:bookmarkEnd w:id="2"/>
    </w:p>
    <w:p w14:paraId="1029D7BA"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14:paraId="3045AC53" w14:textId="1D87841A" w:rsidR="00B8502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projektu </w:t>
      </w:r>
      <w:r w:rsidRPr="00B8502C">
        <w:rPr>
          <w:rFonts w:ascii="Times New Roman" w:hAnsi="Times New Roman"/>
          <w:b/>
          <w:sz w:val="22"/>
          <w:szCs w:val="22"/>
        </w:rPr>
        <w:t xml:space="preserve">od </w:t>
      </w:r>
      <w:r w:rsidR="00351B8A" w:rsidRPr="00B8502C">
        <w:rPr>
          <w:rFonts w:ascii="Times New Roman" w:hAnsi="Times New Roman"/>
          <w:b/>
          <w:sz w:val="22"/>
          <w:szCs w:val="22"/>
        </w:rPr>
        <w:t>…</w:t>
      </w:r>
      <w:r w:rsidRPr="00B8502C">
        <w:rPr>
          <w:rFonts w:ascii="Times New Roman" w:hAnsi="Times New Roman"/>
          <w:b/>
          <w:sz w:val="22"/>
          <w:szCs w:val="22"/>
        </w:rPr>
        <w:t xml:space="preserve"> do …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351B8A" w:rsidRPr="00B8502C">
        <w:rPr>
          <w:rFonts w:ascii="Times New Roman" w:hAnsi="Times New Roman"/>
          <w:i/>
          <w:color w:val="FF0000"/>
          <w:sz w:val="18"/>
          <w:szCs w:val="18"/>
        </w:rPr>
        <w:t>(termín bude doplněn dle charakteru daného projektu</w:t>
      </w:r>
      <w:r w:rsidR="00BE1C8A" w:rsidRPr="00B8502C">
        <w:rPr>
          <w:rFonts w:ascii="Times New Roman" w:hAnsi="Times New Roman"/>
          <w:i/>
          <w:color w:val="FF0000"/>
          <w:sz w:val="18"/>
          <w:szCs w:val="18"/>
        </w:rPr>
        <w:t>)</w:t>
      </w:r>
      <w:r w:rsidR="00BE1C8A">
        <w:rPr>
          <w:rFonts w:ascii="Times New Roman" w:hAnsi="Times New Roman"/>
          <w:b/>
          <w:sz w:val="22"/>
          <w:szCs w:val="22"/>
        </w:rPr>
        <w:t>;</w:t>
      </w:r>
    </w:p>
    <w:p w14:paraId="7BF0B701" w14:textId="77777777" w:rsidR="00B8502C" w:rsidRPr="00B8502C"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B8502C">
        <w:rPr>
          <w:rFonts w:ascii="Times New Roman" w:hAnsi="Times New Roman"/>
          <w:sz w:val="22"/>
        </w:rPr>
        <w:t xml:space="preserve">byl uhrazen nejpozději před uplynutím lhůty pro předložení závěrečného </w:t>
      </w:r>
      <w:r w:rsidR="00BE1C8A">
        <w:rPr>
          <w:rFonts w:ascii="Times New Roman" w:hAnsi="Times New Roman"/>
          <w:sz w:val="22"/>
        </w:rPr>
        <w:t xml:space="preserve">finančního </w:t>
      </w:r>
      <w:r w:rsidRPr="00B8502C">
        <w:rPr>
          <w:rFonts w:ascii="Times New Roman" w:hAnsi="Times New Roman"/>
          <w:sz w:val="22"/>
        </w:rPr>
        <w:t>v</w:t>
      </w:r>
      <w:r w:rsidR="00BE1C8A">
        <w:rPr>
          <w:rFonts w:ascii="Times New Roman" w:hAnsi="Times New Roman"/>
          <w:sz w:val="22"/>
        </w:rPr>
        <w:t>ypořádání;</w:t>
      </w:r>
    </w:p>
    <w:p w14:paraId="6F8BCD51" w14:textId="6E9A0082"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14:paraId="6150A0BF"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6D33B732" w14:textId="77777777" w:rsidR="00AA5CAF" w:rsidRPr="005F5F43"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lastRenderedPageBreak/>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7407E402"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6DC321D3" w14:textId="77777777" w:rsidR="00DF2277" w:rsidRPr="005B1112" w:rsidRDefault="0097362D" w:rsidP="00BB43AB">
      <w:pPr>
        <w:numPr>
          <w:ilvl w:val="0"/>
          <w:numId w:val="3"/>
        </w:numPr>
        <w:spacing w:before="120"/>
        <w:jc w:val="both"/>
        <w:rPr>
          <w:rFonts w:ascii="Times New Roman" w:hAnsi="Times New Roman"/>
          <w:sz w:val="22"/>
        </w:rPr>
      </w:pPr>
      <w:r w:rsidRPr="00155BD4">
        <w:rPr>
          <w:rFonts w:ascii="Times New Roman" w:hAnsi="Times New Roman"/>
          <w:sz w:val="22"/>
          <w:szCs w:val="22"/>
        </w:rPr>
        <w:t>Z poskytnuté dotace nelze hradit zejména</w:t>
      </w:r>
      <w:r w:rsidR="00DF2277" w:rsidRPr="00155BD4">
        <w:rPr>
          <w:rFonts w:ascii="Times New Roman" w:hAnsi="Times New Roman"/>
          <w:color w:val="000000"/>
          <w:sz w:val="22"/>
          <w:szCs w:val="22"/>
        </w:rPr>
        <w:t>:</w:t>
      </w:r>
    </w:p>
    <w:p w14:paraId="71F59AA7"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platby z jakéhokoliv právního důvodu jiným právnickým nebo fyzickým osobám, které se nepodílejí na přípravě a realizaci projektu, na který byla poskytnuta dotace;</w:t>
      </w:r>
    </w:p>
    <w:p w14:paraId="763AF45F" w14:textId="77777777" w:rsidR="0097362D" w:rsidRPr="002D0324"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 xml:space="preserve">leasingové splátky, úroky z úvěrů a </w:t>
      </w:r>
      <w:r w:rsidR="00E60EA4" w:rsidRPr="0068372C">
        <w:rPr>
          <w:sz w:val="22"/>
          <w:szCs w:val="22"/>
        </w:rPr>
        <w:t>zá</w:t>
      </w:r>
      <w:r w:rsidRPr="0068372C">
        <w:rPr>
          <w:sz w:val="22"/>
          <w:szCs w:val="22"/>
        </w:rPr>
        <w:t xml:space="preserve">půjček a jakékoliv finanční závazky, které nevznikly </w:t>
      </w:r>
      <w:r w:rsidR="00E60EA4" w:rsidRPr="002D0324">
        <w:rPr>
          <w:sz w:val="22"/>
          <w:szCs w:val="22"/>
        </w:rPr>
        <w:t xml:space="preserve">příjemci </w:t>
      </w:r>
      <w:r w:rsidRPr="002D0324">
        <w:rPr>
          <w:sz w:val="22"/>
          <w:szCs w:val="22"/>
        </w:rPr>
        <w:t>ve spojitosti s projektem, na jehož přípravu a realizaci mu byla poskytnuta dotace;</w:t>
      </w:r>
    </w:p>
    <w:p w14:paraId="4EBDDC84" w14:textId="5E1DF069" w:rsidR="0097362D" w:rsidRPr="002D0324" w:rsidRDefault="0097362D"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 xml:space="preserve">smluvní pokuty, </w:t>
      </w:r>
      <w:r w:rsidR="00C50239" w:rsidRPr="002D0324">
        <w:rPr>
          <w:sz w:val="22"/>
          <w:szCs w:val="22"/>
        </w:rPr>
        <w:t xml:space="preserve">sankce, </w:t>
      </w:r>
      <w:r w:rsidRPr="002D0324">
        <w:rPr>
          <w:sz w:val="22"/>
          <w:szCs w:val="22"/>
        </w:rPr>
        <w:t xml:space="preserve">penále, </w:t>
      </w:r>
      <w:r w:rsidR="00C50239" w:rsidRPr="002D0324">
        <w:rPr>
          <w:sz w:val="22"/>
          <w:szCs w:val="22"/>
        </w:rPr>
        <w:t xml:space="preserve">manka, škody, kurzové ztráty, provize, celní, správní, </w:t>
      </w:r>
      <w:r w:rsidRPr="002D0324">
        <w:rPr>
          <w:sz w:val="22"/>
          <w:szCs w:val="22"/>
        </w:rPr>
        <w:t xml:space="preserve">úroky z prodlení či jakékoliv jiné </w:t>
      </w:r>
      <w:r w:rsidR="009468C7" w:rsidRPr="002D0324">
        <w:rPr>
          <w:sz w:val="22"/>
          <w:szCs w:val="22"/>
        </w:rPr>
        <w:t xml:space="preserve">zákonné či </w:t>
      </w:r>
      <w:r w:rsidR="00D707D2" w:rsidRPr="002D0324">
        <w:rPr>
          <w:sz w:val="22"/>
          <w:szCs w:val="22"/>
        </w:rPr>
        <w:t xml:space="preserve">smluvní </w:t>
      </w:r>
      <w:r w:rsidRPr="002D0324">
        <w:rPr>
          <w:sz w:val="22"/>
          <w:szCs w:val="22"/>
        </w:rPr>
        <w:t>majetkové sankce;</w:t>
      </w:r>
    </w:p>
    <w:p w14:paraId="73F5CD8C" w14:textId="77777777" w:rsidR="0097362D" w:rsidRPr="002D0324" w:rsidRDefault="00681216" w:rsidP="00FB6148">
      <w:pPr>
        <w:pStyle w:val="Zsady-prosttext"/>
        <w:numPr>
          <w:ilvl w:val="0"/>
          <w:numId w:val="6"/>
        </w:numPr>
        <w:tabs>
          <w:tab w:val="clear" w:pos="454"/>
          <w:tab w:val="num" w:pos="709"/>
        </w:tabs>
        <w:spacing w:after="0"/>
        <w:ind w:left="641" w:hanging="284"/>
        <w:rPr>
          <w:sz w:val="22"/>
          <w:szCs w:val="22"/>
        </w:rPr>
      </w:pPr>
      <w:r w:rsidRPr="002D0324">
        <w:rPr>
          <w:sz w:val="22"/>
          <w:szCs w:val="22"/>
        </w:rPr>
        <w:t>dary;</w:t>
      </w:r>
      <w:r w:rsidR="00FB6148" w:rsidRPr="002D0324">
        <w:rPr>
          <w:sz w:val="22"/>
          <w:szCs w:val="22"/>
        </w:rPr>
        <w:t xml:space="preserve"> </w:t>
      </w:r>
      <w:r w:rsidR="0097362D" w:rsidRPr="002D0324">
        <w:rPr>
          <w:sz w:val="22"/>
          <w:szCs w:val="22"/>
        </w:rPr>
        <w:t xml:space="preserve">odpisy </w:t>
      </w:r>
      <w:r w:rsidRPr="002D0324">
        <w:rPr>
          <w:sz w:val="22"/>
          <w:szCs w:val="22"/>
        </w:rPr>
        <w:t>z majetku; dárkové poukazy, šeky;</w:t>
      </w:r>
    </w:p>
    <w:p w14:paraId="37DB75B6" w14:textId="77777777" w:rsidR="0097362D" w:rsidRPr="002D0324" w:rsidRDefault="0097362D"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finanční příspěvek zaměstnavatele na stravování zaměstnanců (včetně stravenek);</w:t>
      </w:r>
    </w:p>
    <w:p w14:paraId="793F98B6" w14:textId="77777777" w:rsidR="0097362D" w:rsidRPr="002D0324" w:rsidRDefault="0097362D"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vzájemný zápočet závazků a pohledávek;</w:t>
      </w:r>
    </w:p>
    <w:p w14:paraId="17D276E8" w14:textId="77777777" w:rsidR="0097362D" w:rsidRPr="002D0324" w:rsidRDefault="0097362D"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náklady vzniklé v souvislosti s tvorbou rezerv, časového rozlišení a opravných položek;</w:t>
      </w:r>
    </w:p>
    <w:p w14:paraId="00284E45" w14:textId="77777777" w:rsidR="00964003" w:rsidRPr="002D0324" w:rsidRDefault="0097362D"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náklady, které má příjemce zakalkulovány v ceně služby, k</w:t>
      </w:r>
      <w:r w:rsidR="009468C7" w:rsidRPr="002D0324">
        <w:rPr>
          <w:sz w:val="22"/>
          <w:szCs w:val="22"/>
        </w:rPr>
        <w:t>terou poskytuje cizímu subjektu;</w:t>
      </w:r>
    </w:p>
    <w:p w14:paraId="254F5215" w14:textId="77777777" w:rsidR="009468C7" w:rsidRPr="002D0324" w:rsidRDefault="00031287"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odměn</w:t>
      </w:r>
      <w:r w:rsidR="00782B54" w:rsidRPr="002D0324">
        <w:rPr>
          <w:sz w:val="22"/>
          <w:szCs w:val="22"/>
        </w:rPr>
        <w:t>y</w:t>
      </w:r>
      <w:r w:rsidRPr="002D0324">
        <w:rPr>
          <w:sz w:val="22"/>
          <w:szCs w:val="22"/>
        </w:rPr>
        <w:t xml:space="preserve"> statutárnímu orgánu </w:t>
      </w:r>
      <w:r w:rsidR="009468C7" w:rsidRPr="002D0324">
        <w:rPr>
          <w:sz w:val="22"/>
          <w:szCs w:val="22"/>
        </w:rPr>
        <w:t>či členům statutárního orgánu</w:t>
      </w:r>
      <w:r w:rsidRPr="002D0324">
        <w:rPr>
          <w:sz w:val="22"/>
          <w:szCs w:val="22"/>
        </w:rPr>
        <w:t xml:space="preserve"> za výkon jejich funkce</w:t>
      </w:r>
      <w:r w:rsidR="009468C7" w:rsidRPr="002D0324">
        <w:rPr>
          <w:sz w:val="22"/>
          <w:szCs w:val="22"/>
        </w:rPr>
        <w:t>;</w:t>
      </w:r>
    </w:p>
    <w:p w14:paraId="6F0CBF20" w14:textId="669C8D97" w:rsidR="0091556F" w:rsidRPr="002D0324" w:rsidRDefault="0091556F"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daňové poradenství, multimediální prezentace, zajištění marketingového a reklamního servisu, konzultace, auditorské služby</w:t>
      </w:r>
      <w:r w:rsidR="00D27FC0" w:rsidRPr="002D0324">
        <w:rPr>
          <w:sz w:val="22"/>
          <w:szCs w:val="22"/>
        </w:rPr>
        <w:t>, právní služby, výdaje na právní spory vzniklé v souvislosti s akcí;</w:t>
      </w:r>
    </w:p>
    <w:p w14:paraId="5A386A40" w14:textId="621CD61D" w:rsidR="00D27FC0" w:rsidRPr="002D0324" w:rsidRDefault="00D27FC0"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provozní výdaje; geodetické práce, archeologický průzkum</w:t>
      </w:r>
      <w:r w:rsidR="00C50239" w:rsidRPr="002D0324">
        <w:rPr>
          <w:sz w:val="22"/>
          <w:szCs w:val="22"/>
        </w:rPr>
        <w:t>;</w:t>
      </w:r>
    </w:p>
    <w:p w14:paraId="074F0E47" w14:textId="0142F5A0" w:rsidR="00C50239" w:rsidRPr="002D0324" w:rsidRDefault="00C50239" w:rsidP="00817333">
      <w:pPr>
        <w:pStyle w:val="Zsady-prosttext"/>
        <w:numPr>
          <w:ilvl w:val="0"/>
          <w:numId w:val="6"/>
        </w:numPr>
        <w:tabs>
          <w:tab w:val="clear" w:pos="454"/>
          <w:tab w:val="num" w:pos="709"/>
        </w:tabs>
        <w:spacing w:after="0"/>
        <w:ind w:left="641" w:hanging="284"/>
        <w:rPr>
          <w:sz w:val="22"/>
          <w:szCs w:val="22"/>
        </w:rPr>
      </w:pPr>
      <w:r w:rsidRPr="002D0324">
        <w:rPr>
          <w:sz w:val="22"/>
          <w:szCs w:val="22"/>
        </w:rPr>
        <w:t>poplatky, bankovní a jiné poplatky, úroky z úvěrů, půjček, splátky úvěrů a půjček;</w:t>
      </w:r>
    </w:p>
    <w:p w14:paraId="570D327F" w14:textId="09DED148" w:rsidR="0091556F"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mzdové náklady;</w:t>
      </w:r>
    </w:p>
    <w:p w14:paraId="440F647D" w14:textId="0DB423DD"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náklady na zpracování a administraci žádosti o poskytnutí dotace vč. výdajů na související poradenství</w:t>
      </w:r>
      <w:r w:rsidR="00C50239" w:rsidRPr="002D0324">
        <w:rPr>
          <w:sz w:val="22"/>
          <w:szCs w:val="22"/>
        </w:rPr>
        <w:t>;</w:t>
      </w:r>
    </w:p>
    <w:p w14:paraId="1D89D9E0" w14:textId="2FBE7BFA"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zhotovitelem v rámci nabídky na výběr dodavatele v zadávacím (výběrovém) řízení;</w:t>
      </w:r>
    </w:p>
    <w:p w14:paraId="39A6E403" w14:textId="3659D3EC" w:rsidR="00C50239" w:rsidRPr="002D0324" w:rsidRDefault="00C50239" w:rsidP="00C50239">
      <w:pPr>
        <w:pStyle w:val="Zsady-prosttext"/>
        <w:numPr>
          <w:ilvl w:val="0"/>
          <w:numId w:val="15"/>
        </w:numPr>
        <w:spacing w:after="0"/>
        <w:rPr>
          <w:sz w:val="22"/>
          <w:szCs w:val="22"/>
        </w:rPr>
      </w:pPr>
      <w:r w:rsidRPr="002D0324">
        <w:rPr>
          <w:sz w:val="22"/>
          <w:szCs w:val="22"/>
        </w:rPr>
        <w:t>demolice stavby jako samostatného stavebního objektu, nikoliv bourací práce realizované v   průběhu rekonstrukce či modernizace objektu;</w:t>
      </w:r>
    </w:p>
    <w:p w14:paraId="6A1E0352" w14:textId="02851C36"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dodávky, služby či stavební práce, které nejsou sjednány platným smluvím závazkem</w:t>
      </w:r>
      <w:r w:rsidR="00C50239" w:rsidRPr="002D0324">
        <w:rPr>
          <w:sz w:val="22"/>
          <w:szCs w:val="22"/>
        </w:rPr>
        <w:t>;</w:t>
      </w:r>
    </w:p>
    <w:p w14:paraId="4797E629" w14:textId="6C764CF6" w:rsidR="00C50239" w:rsidRPr="002D0324" w:rsidRDefault="00C50239"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vady díla, které je dodavatel povinen odstranit bez dalších náhrad;</w:t>
      </w:r>
    </w:p>
    <w:p w14:paraId="41CF2DAD" w14:textId="52D08756"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revize, zaškolení obsluhy, ubytování zaměstnanců</w:t>
      </w:r>
      <w:r w:rsidR="00C50239" w:rsidRPr="002D0324">
        <w:rPr>
          <w:sz w:val="22"/>
          <w:szCs w:val="22"/>
        </w:rPr>
        <w:t>;</w:t>
      </w:r>
    </w:p>
    <w:p w14:paraId="45E2A16A" w14:textId="2F23DBCD"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pojištění majetku, činnosti a osob</w:t>
      </w:r>
      <w:r w:rsidR="00C50239" w:rsidRPr="002D0324">
        <w:rPr>
          <w:sz w:val="22"/>
          <w:szCs w:val="22"/>
        </w:rPr>
        <w:t>;</w:t>
      </w:r>
    </w:p>
    <w:p w14:paraId="144638BC" w14:textId="3E156150" w:rsidR="00D27FC0"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úpravy venkovních ploch, které bezprostředně nesouvisí s realizovanou akcí;</w:t>
      </w:r>
    </w:p>
    <w:p w14:paraId="3057265A" w14:textId="77777777" w:rsidR="0091556F" w:rsidRPr="002D0324" w:rsidRDefault="0091556F"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nákup pozemků či jiných věcí nemovitých a jakéhokoli majetku zatíženého zástavním právem;</w:t>
      </w:r>
    </w:p>
    <w:p w14:paraId="1A6719F9" w14:textId="78439532" w:rsidR="00223922" w:rsidRPr="002D0324" w:rsidRDefault="00D27FC0" w:rsidP="00C50239">
      <w:pPr>
        <w:pStyle w:val="Zsady-prosttext"/>
        <w:numPr>
          <w:ilvl w:val="0"/>
          <w:numId w:val="6"/>
        </w:numPr>
        <w:tabs>
          <w:tab w:val="clear" w:pos="454"/>
          <w:tab w:val="num" w:pos="709"/>
        </w:tabs>
        <w:spacing w:after="0"/>
        <w:ind w:left="641" w:hanging="284"/>
        <w:rPr>
          <w:sz w:val="22"/>
          <w:szCs w:val="22"/>
        </w:rPr>
      </w:pPr>
      <w:r w:rsidRPr="002D0324">
        <w:rPr>
          <w:sz w:val="22"/>
          <w:szCs w:val="22"/>
        </w:rPr>
        <w:t>pronájem nemovitých věcí</w:t>
      </w:r>
      <w:r w:rsidR="00223922" w:rsidRPr="002D0324">
        <w:rPr>
          <w:sz w:val="22"/>
          <w:szCs w:val="22"/>
        </w:rPr>
        <w:t>.</w:t>
      </w:r>
    </w:p>
    <w:p w14:paraId="005C1FAE" w14:textId="77777777"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69380EDB" w14:textId="77777777"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a ostatní činností příjemce, která není ekonomickou </w:t>
      </w:r>
      <w:proofErr w:type="gramStart"/>
      <w:r w:rsidR="00DE572C" w:rsidRPr="006120DC">
        <w:rPr>
          <w:rFonts w:ascii="Times New Roman" w:hAnsi="Times New Roman"/>
          <w:color w:val="000000"/>
          <w:sz w:val="22"/>
          <w:szCs w:val="22"/>
        </w:rPr>
        <w:t>činností</w:t>
      </w:r>
      <w:proofErr w:type="gramEnd"/>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269ECDB0"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3545B0E7" w14:textId="0F635CE7" w:rsidR="00DE572C"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Výdaj na úhradu zálohové faktury,</w:t>
      </w:r>
      <w:r w:rsidR="00C50239">
        <w:rPr>
          <w:rFonts w:ascii="Times New Roman" w:hAnsi="Times New Roman"/>
          <w:sz w:val="22"/>
          <w:szCs w:val="22"/>
        </w:rPr>
        <w:t xml:space="preserve"> </w:t>
      </w:r>
      <w:r w:rsidR="00D61E90" w:rsidRPr="00C50239">
        <w:rPr>
          <w:rFonts w:ascii="Times New Roman" w:hAnsi="Times New Roman"/>
          <w:iCs/>
          <w:sz w:val="22"/>
          <w:szCs w:val="22"/>
        </w:rPr>
        <w:t>která nebud</w:t>
      </w:r>
      <w:r w:rsidR="00E4564B" w:rsidRPr="00C50239">
        <w:rPr>
          <w:rFonts w:ascii="Times New Roman" w:hAnsi="Times New Roman"/>
          <w:iCs/>
          <w:sz w:val="22"/>
          <w:szCs w:val="22"/>
        </w:rPr>
        <w:t>e</w:t>
      </w:r>
      <w:r w:rsidR="00D61E90" w:rsidRPr="00C50239">
        <w:rPr>
          <w:rFonts w:ascii="Times New Roman" w:hAnsi="Times New Roman"/>
          <w:iCs/>
          <w:sz w:val="22"/>
          <w:szCs w:val="22"/>
        </w:rPr>
        <w:t xml:space="preserve"> do termínu konečného čerpání dotace vyúčtována</w:t>
      </w:r>
      <w:r w:rsidR="00C50239">
        <w:rPr>
          <w:rFonts w:ascii="Times New Roman" w:hAnsi="Times New Roman"/>
          <w:i/>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71EFBC0B" w14:textId="7BA93055" w:rsidR="00561BC4" w:rsidRPr="00E44CA0" w:rsidRDefault="00561BC4" w:rsidP="00D61E90">
      <w:pPr>
        <w:numPr>
          <w:ilvl w:val="0"/>
          <w:numId w:val="3"/>
        </w:numPr>
        <w:spacing w:before="120"/>
        <w:jc w:val="both"/>
        <w:rPr>
          <w:rFonts w:ascii="Times New Roman" w:hAnsi="Times New Roman"/>
          <w:sz w:val="22"/>
          <w:szCs w:val="22"/>
        </w:rPr>
      </w:pPr>
      <w:r w:rsidRPr="005B1112">
        <w:rPr>
          <w:rFonts w:ascii="Times New Roman" w:hAnsi="Times New Roman"/>
          <w:i/>
          <w:sz w:val="22"/>
        </w:rPr>
        <w:t>Příjemce je povinen, na výzvu poskytovatele podat informace o výši čerpání dotace k 31. prosinci příslušného kalendářního roku na odbor školství a sportu Magistrátu města Ostravy.</w:t>
      </w:r>
      <w:r>
        <w:rPr>
          <w:rFonts w:ascii="Times New Roman" w:hAnsi="Times New Roman"/>
          <w:i/>
          <w:sz w:val="22"/>
        </w:rPr>
        <w:t xml:space="preserve"> </w:t>
      </w:r>
      <w:r w:rsidRPr="005B1112">
        <w:rPr>
          <w:rFonts w:ascii="Times New Roman" w:hAnsi="Times New Roman"/>
          <w:i/>
          <w:sz w:val="22"/>
        </w:rPr>
        <w:t>(</w:t>
      </w:r>
      <w:r w:rsidRPr="005B1112">
        <w:rPr>
          <w:rFonts w:ascii="Times New Roman" w:hAnsi="Times New Roman"/>
          <w:i/>
          <w:color w:val="FF0000"/>
          <w:sz w:val="18"/>
        </w:rPr>
        <w:t>tento bod se týká nadlimitních a investičních dotací.)</w:t>
      </w:r>
      <w:r w:rsidR="00E44CA0">
        <w:rPr>
          <w:rFonts w:ascii="Times New Roman" w:hAnsi="Times New Roman"/>
          <w:i/>
          <w:color w:val="FF0000"/>
          <w:sz w:val="18"/>
        </w:rPr>
        <w:t>.</w:t>
      </w:r>
    </w:p>
    <w:p w14:paraId="24B024EB" w14:textId="77777777" w:rsidR="00E44CA0" w:rsidRPr="00817333" w:rsidRDefault="00E44CA0" w:rsidP="00E44CA0">
      <w:pPr>
        <w:spacing w:before="120"/>
        <w:ind w:left="360"/>
        <w:jc w:val="both"/>
        <w:rPr>
          <w:rFonts w:ascii="Times New Roman" w:hAnsi="Times New Roman"/>
          <w:sz w:val="22"/>
          <w:szCs w:val="22"/>
        </w:rPr>
      </w:pPr>
    </w:p>
    <w:p w14:paraId="4DA07133" w14:textId="1734FDBC" w:rsidR="00964003" w:rsidRDefault="00792D37" w:rsidP="00290DAF">
      <w:pPr>
        <w:pStyle w:val="Nadpis2"/>
        <w:spacing w:after="0"/>
      </w:pPr>
      <w:r w:rsidRPr="000C60AC">
        <w:lastRenderedPageBreak/>
        <w:t>Příjemce se dále zavazuje</w:t>
      </w:r>
    </w:p>
    <w:p w14:paraId="0FD42955" w14:textId="77777777" w:rsidR="004913E9" w:rsidRPr="006B3291" w:rsidRDefault="004913E9" w:rsidP="004913E9">
      <w:pPr>
        <w:numPr>
          <w:ilvl w:val="0"/>
          <w:numId w:val="3"/>
        </w:numPr>
        <w:jc w:val="both"/>
        <w:rPr>
          <w:rFonts w:ascii="Times New Roman" w:hAnsi="Times New Roman"/>
          <w:strike/>
          <w:sz w:val="22"/>
          <w:szCs w:val="22"/>
        </w:rPr>
      </w:pPr>
      <w:r w:rsidRPr="006B3291">
        <w:rPr>
          <w:rFonts w:ascii="Times New Roman" w:hAnsi="Times New Roman"/>
          <w:sz w:val="22"/>
          <w:szCs w:val="22"/>
        </w:rPr>
        <w:t>Nepřevést žádným způsobem svá práva a povinnosti z této smlouvy ani tuto smlouvu na jinou fyzickou nebo právnickou osobu,</w:t>
      </w:r>
    </w:p>
    <w:p w14:paraId="5942610B" w14:textId="77777777" w:rsidR="004913E9" w:rsidRPr="006B3291" w:rsidRDefault="004913E9" w:rsidP="004913E9">
      <w:pPr>
        <w:numPr>
          <w:ilvl w:val="0"/>
          <w:numId w:val="19"/>
        </w:numPr>
        <w:ind w:left="714" w:hanging="357"/>
        <w:jc w:val="both"/>
        <w:rPr>
          <w:rFonts w:ascii="Times New Roman" w:hAnsi="Times New Roman"/>
          <w:i/>
          <w:sz w:val="22"/>
          <w:szCs w:val="22"/>
        </w:rPr>
      </w:pPr>
      <w:r w:rsidRPr="006B3291">
        <w:rPr>
          <w:rFonts w:ascii="Times New Roman" w:hAnsi="Times New Roman"/>
          <w:sz w:val="22"/>
          <w:szCs w:val="22"/>
        </w:rPr>
        <w:t>realizovat projekt vlastním jménem, na vlastní účet a vlastní odpovědnost</w:t>
      </w:r>
      <w:r w:rsidRPr="006B3291">
        <w:rPr>
          <w:rFonts w:ascii="Times New Roman" w:hAnsi="Times New Roman"/>
          <w:i/>
          <w:sz w:val="22"/>
          <w:szCs w:val="22"/>
        </w:rPr>
        <w:t>,</w:t>
      </w:r>
    </w:p>
    <w:p w14:paraId="66F6D549" w14:textId="6F74EC9B" w:rsidR="004913E9" w:rsidRPr="004913E9" w:rsidRDefault="004913E9" w:rsidP="004913E9">
      <w:pPr>
        <w:numPr>
          <w:ilvl w:val="0"/>
          <w:numId w:val="19"/>
        </w:numPr>
        <w:spacing w:after="120"/>
        <w:ind w:left="714" w:hanging="357"/>
        <w:jc w:val="both"/>
        <w:rPr>
          <w:rFonts w:ascii="Times New Roman" w:hAnsi="Times New Roman"/>
          <w:sz w:val="22"/>
          <w:szCs w:val="22"/>
        </w:rPr>
      </w:pPr>
      <w:r w:rsidRPr="006B3291">
        <w:rPr>
          <w:rFonts w:ascii="Times New Roman" w:hAnsi="Times New Roman"/>
          <w:sz w:val="22"/>
          <w:szCs w:val="22"/>
        </w:rPr>
        <w:t xml:space="preserve">naplnit účelové určení projektu. </w:t>
      </w:r>
    </w:p>
    <w:p w14:paraId="1F237EDB" w14:textId="77777777" w:rsidR="00CE0968" w:rsidRDefault="00CE0968" w:rsidP="009B0E51">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2FC65C6B" w14:textId="77777777"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290DAF">
        <w:rPr>
          <w:rFonts w:ascii="Times New Roman" w:hAnsi="Times New Roman"/>
          <w:sz w:val="22"/>
          <w:szCs w:val="22"/>
        </w:rPr>
        <w:t xml:space="preserve"> </w:t>
      </w:r>
      <w:r>
        <w:rPr>
          <w:rFonts w:ascii="Times New Roman" w:hAnsi="Times New Roman"/>
          <w:sz w:val="22"/>
          <w:szCs w:val="22"/>
        </w:rPr>
        <w:t>(</w:t>
      </w:r>
      <w:r w:rsidR="00290DAF">
        <w:rPr>
          <w:rFonts w:ascii="Times New Roman" w:hAnsi="Times New Roman"/>
          <w:sz w:val="22"/>
          <w:szCs w:val="22"/>
        </w:rPr>
        <w:t xml:space="preserve">příp. </w:t>
      </w:r>
      <w:r w:rsidR="00290DAF" w:rsidRPr="00473516">
        <w:rPr>
          <w:rFonts w:ascii="Times New Roman" w:hAnsi="Times New Roman"/>
          <w:b/>
          <w:sz w:val="22"/>
          <w:szCs w:val="22"/>
        </w:rPr>
        <w:t>„Financováno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5D4576">
        <w:rPr>
          <w:rFonts w:ascii="Times New Roman" w:hAnsi="Times New Roman"/>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14:paraId="67D44BF0" w14:textId="5272101A" w:rsidR="00791A5A" w:rsidRPr="002D0324" w:rsidRDefault="005B1112" w:rsidP="009B0E51">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sidRPr="002D0324">
        <w:rPr>
          <w:rFonts w:ascii="Times New Roman" w:hAnsi="Times New Roman"/>
          <w:sz w:val="22"/>
          <w:szCs w:val="22"/>
        </w:rPr>
        <w:t xml:space="preserve">nad </w:t>
      </w:r>
      <w:r w:rsidR="00C50239" w:rsidRPr="002D0324">
        <w:rPr>
          <w:rFonts w:ascii="Times New Roman" w:hAnsi="Times New Roman"/>
          <w:b/>
          <w:sz w:val="22"/>
          <w:szCs w:val="22"/>
        </w:rPr>
        <w:t>8</w:t>
      </w:r>
      <w:r w:rsidR="005D5331" w:rsidRPr="002D0324">
        <w:rPr>
          <w:rFonts w:ascii="Times New Roman" w:hAnsi="Times New Roman"/>
          <w:b/>
          <w:sz w:val="22"/>
          <w:szCs w:val="22"/>
        </w:rPr>
        <w:t xml:space="preserve">0.000, - </w:t>
      </w:r>
      <w:r w:rsidR="005D5331" w:rsidRPr="005D5331">
        <w:rPr>
          <w:rFonts w:ascii="Times New Roman" w:hAnsi="Times New Roman"/>
          <w:b/>
          <w:sz w:val="22"/>
          <w:szCs w:val="22"/>
        </w:rPr>
        <w:t>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5D4576">
        <w:rPr>
          <w:rFonts w:ascii="Times New Roman" w:hAnsi="Times New Roman"/>
          <w:b/>
          <w:sz w:val="22"/>
          <w:szCs w:val="22"/>
        </w:rPr>
        <w:t xml:space="preserve"> </w:t>
      </w:r>
      <w:r w:rsidR="005D4576">
        <w:rPr>
          <w:rFonts w:ascii="Times New Roman" w:hAnsi="Times New Roman"/>
          <w:sz w:val="22"/>
          <w:szCs w:val="22"/>
        </w:rPr>
        <w:t xml:space="preserve">(příp. </w:t>
      </w:r>
      <w:r w:rsidR="005D4576" w:rsidRPr="00473516">
        <w:rPr>
          <w:rFonts w:ascii="Times New Roman" w:hAnsi="Times New Roman"/>
          <w:b/>
          <w:sz w:val="22"/>
          <w:szCs w:val="22"/>
        </w:rPr>
        <w:t>„Financováno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5D4576">
        <w:rPr>
          <w:rFonts w:ascii="Times New Roman" w:hAnsi="Times New Roman"/>
          <w:sz w:val="22"/>
          <w:szCs w:val="22"/>
        </w:rPr>
        <w:t>)</w:t>
      </w:r>
      <w:r w:rsidR="004E0366" w:rsidRPr="00585EF5">
        <w:rPr>
          <w:rFonts w:ascii="Times New Roman" w:hAnsi="Times New Roman"/>
          <w:sz w:val="22"/>
          <w:szCs w:val="22"/>
        </w:rPr>
        <w:t xml:space="preserve">. </w:t>
      </w:r>
      <w:r w:rsidR="00C50239" w:rsidRPr="002D0324">
        <w:rPr>
          <w:rFonts w:ascii="Times New Roman" w:hAnsi="Times New Roman"/>
          <w:sz w:val="22"/>
          <w:szCs w:val="22"/>
        </w:rPr>
        <w:t>Po dobu 10 let od data podání finančního vypořádání dotace využíván ke sportovní činnosti</w:t>
      </w:r>
      <w:r w:rsidR="009B0E51" w:rsidRPr="002D0324">
        <w:rPr>
          <w:rFonts w:ascii="Times New Roman" w:hAnsi="Times New Roman"/>
          <w:sz w:val="22"/>
          <w:szCs w:val="22"/>
        </w:rPr>
        <w:t xml:space="preserve">. </w:t>
      </w:r>
      <w:r w:rsidR="004E0366" w:rsidRPr="002D0324">
        <w:rPr>
          <w:rFonts w:ascii="Times New Roman" w:hAnsi="Times New Roman"/>
          <w:sz w:val="22"/>
          <w:szCs w:val="22"/>
        </w:rPr>
        <w:t>Nepředat takový majetek do užívání z titulu výpůjčky či nájmu jinému subjektu, nezcizit jej a nepřevést na jinou právnickou nebo fyzickou osobu</w:t>
      </w:r>
      <w:r w:rsidR="00C50239" w:rsidRPr="002D0324">
        <w:rPr>
          <w:rFonts w:ascii="Times New Roman" w:hAnsi="Times New Roman"/>
          <w:sz w:val="22"/>
          <w:szCs w:val="22"/>
        </w:rPr>
        <w:t xml:space="preserve"> bez předchozího souhlasu poskytovatele dotace</w:t>
      </w:r>
      <w:r w:rsidR="004E0366" w:rsidRPr="002D0324">
        <w:rPr>
          <w:rFonts w:ascii="Times New Roman" w:hAnsi="Times New Roman"/>
          <w:sz w:val="22"/>
          <w:szCs w:val="22"/>
        </w:rPr>
        <w:t xml:space="preserve">. Tento závazek zaniká uplynutím </w:t>
      </w:r>
      <w:r w:rsidR="00311E5F" w:rsidRPr="002D0324">
        <w:rPr>
          <w:rFonts w:ascii="Times New Roman" w:hAnsi="Times New Roman"/>
          <w:sz w:val="22"/>
          <w:szCs w:val="22"/>
        </w:rPr>
        <w:t xml:space="preserve">10 </w:t>
      </w:r>
      <w:r w:rsidR="004E0366" w:rsidRPr="002D0324">
        <w:rPr>
          <w:rFonts w:ascii="Times New Roman" w:hAnsi="Times New Roman"/>
          <w:sz w:val="22"/>
          <w:szCs w:val="22"/>
        </w:rPr>
        <w:t xml:space="preserve">let ode dne předložení </w:t>
      </w:r>
      <w:r w:rsidR="008D7292" w:rsidRPr="002D0324">
        <w:rPr>
          <w:rFonts w:ascii="Times New Roman" w:hAnsi="Times New Roman"/>
          <w:sz w:val="22"/>
          <w:szCs w:val="22"/>
        </w:rPr>
        <w:t xml:space="preserve">závěrečného </w:t>
      </w:r>
      <w:r w:rsidR="004E0366" w:rsidRPr="002D0324">
        <w:rPr>
          <w:rFonts w:ascii="Times New Roman" w:hAnsi="Times New Roman"/>
          <w:sz w:val="22"/>
          <w:szCs w:val="22"/>
        </w:rPr>
        <w:t>finančního vypořádání dotace poskytovateli.</w:t>
      </w:r>
      <w:r w:rsidR="009B0E51" w:rsidRPr="002D0324">
        <w:rPr>
          <w:rFonts w:ascii="Times New Roman" w:hAnsi="Times New Roman"/>
          <w:sz w:val="22"/>
          <w:szCs w:val="22"/>
        </w:rPr>
        <w:t xml:space="preserve"> Dále nesmí být předmět dotace po dobu udržitelnosti poskytnut bance jako zástava na půjčku, úvěr apod. Účastník programu je povinen po dobu udržitelnosti oznámit poskytovateli dotace změny související s předmětem dotace.</w:t>
      </w:r>
    </w:p>
    <w:p w14:paraId="56721293" w14:textId="01B44971" w:rsidR="004E0366" w:rsidRDefault="0083243B" w:rsidP="00791A5A">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83243B">
        <w:rPr>
          <w:rFonts w:ascii="Times New Roman" w:hAnsi="Times New Roman"/>
          <w:sz w:val="22"/>
          <w:szCs w:val="22"/>
        </w:rPr>
        <w:t>Strany si sjednávají, že zhodnocení předmětu nájmu (pronajímané věci), které bude financováno nebo spolufinancováno z dotačních akcí z rozpočtu pronajímatele, nebude předmětem vzájemného finančního vypořádání při ukončení nájemního vztahu. Nájemce v takovém případě nemá právo v budoucnu požadovat jakoukoli kompenzaci za toto zhodnocení předmětu nájmu po pronajímateli.</w:t>
      </w:r>
      <w:r w:rsidR="004913E9">
        <w:rPr>
          <w:rFonts w:ascii="Times New Roman" w:hAnsi="Times New Roman"/>
          <w:sz w:val="22"/>
          <w:szCs w:val="22"/>
        </w:rPr>
        <w:t xml:space="preserve"> </w:t>
      </w:r>
      <w:r w:rsidR="004913E9" w:rsidRPr="005A6609">
        <w:rPr>
          <w:rFonts w:ascii="Times New Roman" w:hAnsi="Times New Roman"/>
          <w:i/>
          <w:color w:val="FF0000"/>
          <w:sz w:val="18"/>
        </w:rPr>
        <w:t>(tento bod se týká majetku v předmětu nájmu SMO, nebo majetku svěřeném městskému obvodu).</w:t>
      </w:r>
    </w:p>
    <w:p w14:paraId="4B8BEC47" w14:textId="58412E35" w:rsidR="009B0E51" w:rsidRPr="003C5B25" w:rsidRDefault="009B0E51" w:rsidP="0018193B">
      <w:pPr>
        <w:pStyle w:val="Odstavecseseznamem"/>
        <w:numPr>
          <w:ilvl w:val="0"/>
          <w:numId w:val="3"/>
        </w:numPr>
        <w:tabs>
          <w:tab w:val="left" w:pos="0"/>
          <w:tab w:val="left" w:leader="underscore" w:pos="4706"/>
          <w:tab w:val="left" w:pos="4990"/>
          <w:tab w:val="left" w:leader="underscore" w:pos="9639"/>
        </w:tabs>
        <w:spacing w:before="120"/>
        <w:jc w:val="both"/>
        <w:rPr>
          <w:rFonts w:ascii="Times New Roman" w:hAnsi="Times New Roman"/>
          <w:color w:val="4F81BD" w:themeColor="accent1"/>
          <w:sz w:val="22"/>
          <w:szCs w:val="22"/>
        </w:rPr>
      </w:pPr>
      <w:r w:rsidRPr="002D0324">
        <w:rPr>
          <w:rFonts w:ascii="Times New Roman" w:hAnsi="Times New Roman"/>
          <w:sz w:val="22"/>
          <w:szCs w:val="22"/>
        </w:rPr>
        <w:t xml:space="preserve">V případě poskytnutí dotace na projektovou dokumentaci </w:t>
      </w:r>
      <w:r w:rsidR="003C5B25" w:rsidRPr="002D0324">
        <w:rPr>
          <w:rFonts w:ascii="Times New Roman" w:hAnsi="Times New Roman"/>
          <w:sz w:val="22"/>
          <w:szCs w:val="22"/>
        </w:rPr>
        <w:t>se p</w:t>
      </w:r>
      <w:r w:rsidRPr="002D0324">
        <w:rPr>
          <w:rFonts w:ascii="Times New Roman" w:hAnsi="Times New Roman"/>
          <w:sz w:val="22"/>
          <w:szCs w:val="22"/>
        </w:rPr>
        <w:t>říjemce zavazuje, že dílo, na něhož se vztahuje projektová dokumentace bude fyzicky zahájeno nejpozději do 5 let od poskytnutí dotace, v případě, že projektová dokumentace nebude zahájena do 5 let od poskytnutí dotace, příjemci vzniká povinnost k navrácení dotace. Dále se příjemce zavazuje nepředat projektovou dokumentaci jinému subjektu, nezcizit jej a nepřevést na jinou právnickou nebo fyzickou osobu bez předchozího souhlasu poskytovatele dotace. Tento závazek zaniká uplynutím 3 let ode dne poskytnutí dotace</w:t>
      </w:r>
      <w:r w:rsidRPr="003C5B25">
        <w:rPr>
          <w:rFonts w:ascii="Times New Roman" w:hAnsi="Times New Roman"/>
          <w:color w:val="4F81BD" w:themeColor="accent1"/>
          <w:sz w:val="22"/>
          <w:szCs w:val="22"/>
        </w:rPr>
        <w:t>.</w:t>
      </w:r>
      <w:r w:rsidRPr="003C5B25">
        <w:rPr>
          <w:rFonts w:ascii="Times New Roman" w:hAnsi="Times New Roman"/>
          <w:i/>
          <w:color w:val="FF0000"/>
          <w:sz w:val="18"/>
          <w:szCs w:val="18"/>
        </w:rPr>
        <w:t xml:space="preserve"> (tento</w:t>
      </w:r>
      <w:r w:rsidRPr="003C5B25">
        <w:rPr>
          <w:rFonts w:ascii="Times New Roman" w:hAnsi="Times New Roman"/>
          <w:color w:val="FF0000"/>
          <w:sz w:val="22"/>
          <w:szCs w:val="22"/>
        </w:rPr>
        <w:t xml:space="preserve"> </w:t>
      </w:r>
      <w:r w:rsidRPr="003C5B25">
        <w:rPr>
          <w:rFonts w:ascii="Times New Roman" w:hAnsi="Times New Roman"/>
          <w:i/>
          <w:color w:val="FF0000"/>
          <w:sz w:val="18"/>
          <w:szCs w:val="22"/>
        </w:rPr>
        <w:t>odstavec</w:t>
      </w:r>
      <w:r w:rsidRPr="003C5B25">
        <w:rPr>
          <w:rFonts w:ascii="Times New Roman" w:hAnsi="Times New Roman"/>
          <w:color w:val="FF0000"/>
          <w:sz w:val="18"/>
          <w:szCs w:val="22"/>
        </w:rPr>
        <w:t xml:space="preserve"> </w:t>
      </w:r>
      <w:r w:rsidR="00155BD4">
        <w:rPr>
          <w:rFonts w:ascii="Times New Roman" w:hAnsi="Times New Roman"/>
          <w:i/>
          <w:color w:val="FF0000"/>
          <w:sz w:val="18"/>
          <w:szCs w:val="22"/>
        </w:rPr>
        <w:t>8</w:t>
      </w:r>
      <w:r w:rsidRPr="003C5B25">
        <w:rPr>
          <w:rFonts w:ascii="Times New Roman" w:hAnsi="Times New Roman"/>
          <w:i/>
          <w:color w:val="FF0000"/>
          <w:sz w:val="18"/>
          <w:szCs w:val="22"/>
        </w:rPr>
        <w:t xml:space="preserve"> se použije pouze v případě, schválení dotace na projektovou dokumentaci).</w:t>
      </w:r>
    </w:p>
    <w:p w14:paraId="713F69D1"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28CB5DA7"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CD4AAB5" w14:textId="4DDA35B5"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V průběhu realizace účelu prokazatelným a vhodným způsobem prezentovat statutární město Ostravu, a to zejména takto:</w:t>
      </w:r>
    </w:p>
    <w:p w14:paraId="25A5AFD5" w14:textId="16E302C2"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r w:rsidR="009B0E51" w:rsidRPr="006F134B">
        <w:rPr>
          <w:rFonts w:ascii="Times New Roman" w:hAnsi="Times New Roman"/>
          <w:sz w:val="22"/>
          <w:szCs w:val="22"/>
        </w:rPr>
        <w:t>Ostravy – zejména</w:t>
      </w:r>
      <w:r w:rsidRPr="006F134B">
        <w:rPr>
          <w:rFonts w:ascii="Times New Roman" w:hAnsi="Times New Roman"/>
          <w:sz w:val="22"/>
          <w:szCs w:val="22"/>
        </w:rPr>
        <w:t xml:space="preserve"> na plakátech, letácích, vstupenkách, publikacích a klubových tiskovinách;</w:t>
      </w:r>
    </w:p>
    <w:p w14:paraId="0DAD1E63"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457375BC" w14:textId="1304C25A"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 xml:space="preserve">internetová včetně sociálních sítí) v ČR i v zahraničí uvádět skutečnost, že </w:t>
      </w:r>
      <w:r w:rsidR="009B0E51">
        <w:rPr>
          <w:rFonts w:ascii="Times New Roman" w:hAnsi="Times New Roman"/>
          <w:sz w:val="22"/>
          <w:szCs w:val="22"/>
        </w:rPr>
        <w:t>akce je</w:t>
      </w:r>
      <w:r w:rsidRPr="006F134B">
        <w:rPr>
          <w:rFonts w:ascii="Times New Roman" w:hAnsi="Times New Roman"/>
          <w:sz w:val="22"/>
          <w:szCs w:val="22"/>
        </w:rPr>
        <w:t xml:space="preserve"> podporována statutárním městem Ostrava</w:t>
      </w:r>
      <w:r w:rsidR="009B0E51">
        <w:rPr>
          <w:rFonts w:ascii="Times New Roman" w:hAnsi="Times New Roman"/>
          <w:sz w:val="22"/>
          <w:szCs w:val="22"/>
        </w:rPr>
        <w:t>;</w:t>
      </w:r>
    </w:p>
    <w:p w14:paraId="797888DB" w14:textId="08AFB483"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lastRenderedPageBreak/>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(sportovní hala, tělocvična, sportovní areál)</w:t>
      </w:r>
      <w:r w:rsidR="009B0E51">
        <w:rPr>
          <w:rFonts w:ascii="Times New Roman" w:hAnsi="Times New Roman"/>
          <w:sz w:val="22"/>
          <w:szCs w:val="22"/>
        </w:rPr>
        <w:t>.</w:t>
      </w:r>
    </w:p>
    <w:p w14:paraId="05C524A1" w14:textId="77777777"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Všechny formy, rozsah a způsob prezentace města je Příjemce dotace povinen v dostatečném časovém předstihu (v souladu s časovým harmonogramem mediální kampaně akce) konzultovat s odborem kancelář primátora, oddělením prezentace a vztahů k veřejnosti Magistrátu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p>
    <w:p w14:paraId="5B959F2E"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160896D5" w14:textId="19A58B9C"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36013A">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628F2B2A"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2977D688" w14:textId="77777777" w:rsidR="005B53B3" w:rsidRPr="005B1112" w:rsidRDefault="00D317D7" w:rsidP="00C82CBC">
      <w:pPr>
        <w:numPr>
          <w:ilvl w:val="0"/>
          <w:numId w:val="3"/>
        </w:numPr>
        <w:spacing w:before="120"/>
        <w:jc w:val="both"/>
        <w:rPr>
          <w:rFonts w:ascii="Times New Roman" w:hAnsi="Times New Roman"/>
          <w:color w:val="FF0000"/>
          <w:szCs w:val="22"/>
        </w:rPr>
      </w:pPr>
      <w:r>
        <w:rPr>
          <w:rFonts w:ascii="Times New Roman" w:hAnsi="Times New Roman"/>
          <w:i/>
          <w:sz w:val="22"/>
          <w:szCs w:val="22"/>
        </w:rPr>
        <w:t>P</w:t>
      </w:r>
      <w:r w:rsidR="00C13A22" w:rsidRPr="005B1112">
        <w:rPr>
          <w:rFonts w:ascii="Times New Roman" w:hAnsi="Times New Roman"/>
          <w:i/>
          <w:sz w:val="22"/>
          <w:szCs w:val="22"/>
        </w:rPr>
        <w:t xml:space="preserve">ředložit poskytovateli </w:t>
      </w:r>
      <w:r w:rsidR="00C13A22" w:rsidRPr="005B1112">
        <w:rPr>
          <w:rFonts w:ascii="Times New Roman" w:hAnsi="Times New Roman"/>
          <w:b/>
          <w:bCs/>
          <w:i/>
          <w:sz w:val="22"/>
          <w:szCs w:val="22"/>
        </w:rPr>
        <w:t xml:space="preserve">průběžné finanční vypořádání, </w:t>
      </w:r>
      <w:r w:rsidR="00C13A22" w:rsidRPr="005B1112">
        <w:rPr>
          <w:rFonts w:ascii="Times New Roman" w:hAnsi="Times New Roman"/>
          <w:bCs/>
          <w:i/>
          <w:sz w:val="22"/>
          <w:szCs w:val="22"/>
        </w:rPr>
        <w:t xml:space="preserve">tj. </w:t>
      </w:r>
      <w:r w:rsidR="000D22C6" w:rsidRPr="005B1112">
        <w:rPr>
          <w:rFonts w:ascii="Times New Roman" w:hAnsi="Times New Roman"/>
          <w:bCs/>
          <w:i/>
          <w:sz w:val="22"/>
          <w:szCs w:val="22"/>
        </w:rPr>
        <w:t xml:space="preserve">průběžné </w:t>
      </w:r>
      <w:r w:rsidR="00C13A22" w:rsidRPr="005B1112">
        <w:rPr>
          <w:rFonts w:ascii="Times New Roman" w:hAnsi="Times New Roman"/>
          <w:bCs/>
          <w:i/>
          <w:sz w:val="22"/>
          <w:szCs w:val="22"/>
        </w:rPr>
        <w:t>vyúčtování</w:t>
      </w:r>
      <w:r w:rsidR="00C13A22" w:rsidRPr="005B1112">
        <w:rPr>
          <w:rFonts w:ascii="Times New Roman" w:hAnsi="Times New Roman"/>
          <w:i/>
          <w:sz w:val="22"/>
          <w:szCs w:val="22"/>
        </w:rPr>
        <w:t xml:space="preserve"> dotace </w:t>
      </w:r>
      <w:r w:rsidR="00C13A22" w:rsidRPr="005B1112">
        <w:rPr>
          <w:rFonts w:ascii="Times New Roman" w:hAnsi="Times New Roman"/>
          <w:bCs/>
          <w:i/>
          <w:sz w:val="22"/>
          <w:szCs w:val="22"/>
        </w:rPr>
        <w:t>do</w:t>
      </w:r>
      <w:r w:rsidR="00C13A22" w:rsidRPr="005B1112">
        <w:rPr>
          <w:rFonts w:ascii="Times New Roman" w:hAnsi="Times New Roman"/>
          <w:b/>
          <w:bCs/>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xx. </w:t>
      </w:r>
      <w:proofErr w:type="spellStart"/>
      <w:r w:rsidR="00C13A22" w:rsidRPr="005B1112">
        <w:rPr>
          <w:rFonts w:ascii="Times New Roman" w:hAnsi="Times New Roman"/>
          <w:b/>
          <w:i/>
          <w:sz w:val="22"/>
          <w:szCs w:val="22"/>
        </w:rPr>
        <w:t>xxxx</w:t>
      </w:r>
      <w:proofErr w:type="spellEnd"/>
      <w:r w:rsidR="00C13A22" w:rsidRPr="005B1112">
        <w:rPr>
          <w:rFonts w:ascii="Times New Roman" w:hAnsi="Times New Roman"/>
          <w:b/>
          <w:i/>
          <w:sz w:val="22"/>
          <w:szCs w:val="22"/>
        </w:rPr>
        <w:t xml:space="preserve">, </w:t>
      </w:r>
      <w:r w:rsidR="00C13A22" w:rsidRPr="005B1112">
        <w:rPr>
          <w:rFonts w:ascii="Times New Roman" w:hAnsi="Times New Roman"/>
          <w:i/>
          <w:sz w:val="22"/>
          <w:szCs w:val="22"/>
        </w:rPr>
        <w:t xml:space="preserve">ve výši minimálně </w:t>
      </w:r>
      <w:proofErr w:type="spellStart"/>
      <w:r w:rsidR="00517D2E">
        <w:rPr>
          <w:rFonts w:ascii="Times New Roman" w:hAnsi="Times New Roman"/>
          <w:i/>
          <w:sz w:val="22"/>
          <w:szCs w:val="22"/>
        </w:rPr>
        <w:t>xx</w:t>
      </w:r>
      <w:proofErr w:type="spellEnd"/>
      <w:r w:rsidR="00C13A22" w:rsidRPr="005B1112">
        <w:rPr>
          <w:rFonts w:ascii="Times New Roman" w:hAnsi="Times New Roman"/>
          <w:i/>
          <w:sz w:val="22"/>
          <w:szCs w:val="22"/>
        </w:rPr>
        <w:t>%</w:t>
      </w:r>
      <w:r w:rsidR="00C75338">
        <w:rPr>
          <w:rFonts w:ascii="Times New Roman" w:hAnsi="Times New Roman"/>
          <w:i/>
          <w:sz w:val="22"/>
          <w:szCs w:val="22"/>
        </w:rPr>
        <w:t xml:space="preserve"> poskytnuté dotace</w:t>
      </w:r>
      <w:r w:rsidR="005B53B3" w:rsidRPr="00D317D7">
        <w:rPr>
          <w:rFonts w:ascii="Times New Roman" w:hAnsi="Times New Roman"/>
          <w:i/>
          <w:sz w:val="22"/>
          <w:szCs w:val="22"/>
        </w:rPr>
        <w:t>.</w:t>
      </w:r>
      <w:r w:rsidR="005B53B3" w:rsidRPr="005B1112">
        <w:rPr>
          <w:rFonts w:ascii="Times New Roman" w:hAnsi="Times New Roman"/>
          <w:i/>
          <w:sz w:val="22"/>
          <w:szCs w:val="22"/>
        </w:rPr>
        <w:t xml:space="preserve"> </w:t>
      </w:r>
      <w:r w:rsidR="005B53B3" w:rsidRPr="00011A47">
        <w:rPr>
          <w:rFonts w:ascii="Times New Roman" w:hAnsi="Times New Roman"/>
          <w:bCs/>
          <w:i/>
          <w:color w:val="FF0000"/>
        </w:rPr>
        <w:t>(</w:t>
      </w:r>
      <w:r w:rsidR="005B53B3" w:rsidRPr="005B1112">
        <w:rPr>
          <w:rFonts w:ascii="Times New Roman" w:hAnsi="Times New Roman"/>
          <w:bCs/>
          <w:i/>
          <w:color w:val="FF0000"/>
          <w:sz w:val="18"/>
        </w:rPr>
        <w:t>P</w:t>
      </w:r>
      <w:r w:rsidR="00C13A22" w:rsidRPr="005B1112">
        <w:rPr>
          <w:rFonts w:ascii="Times New Roman" w:hAnsi="Times New Roman"/>
          <w:bCs/>
          <w:i/>
          <w:color w:val="FF0000"/>
          <w:sz w:val="18"/>
        </w:rPr>
        <w:t>řesný termín</w:t>
      </w:r>
      <w:r w:rsidR="00D44F6B">
        <w:rPr>
          <w:rFonts w:ascii="Times New Roman" w:hAnsi="Times New Roman"/>
          <w:bCs/>
          <w:i/>
          <w:color w:val="FF0000"/>
          <w:sz w:val="18"/>
        </w:rPr>
        <w:t>, procentuální podíl</w:t>
      </w:r>
      <w:r w:rsidR="00585EF5" w:rsidRPr="005B1112">
        <w:rPr>
          <w:rFonts w:ascii="Times New Roman" w:hAnsi="Times New Roman"/>
          <w:bCs/>
          <w:i/>
          <w:color w:val="FF0000"/>
          <w:sz w:val="18"/>
        </w:rPr>
        <w:t xml:space="preserve"> a </w:t>
      </w:r>
      <w:r w:rsidR="00BF296F" w:rsidRPr="005B1112">
        <w:rPr>
          <w:rFonts w:ascii="Times New Roman" w:hAnsi="Times New Roman"/>
          <w:bCs/>
          <w:i/>
          <w:color w:val="FF0000"/>
          <w:sz w:val="18"/>
        </w:rPr>
        <w:t>forma vyúčtování budou</w:t>
      </w:r>
      <w:r w:rsidR="00C13A22" w:rsidRPr="005B1112">
        <w:rPr>
          <w:rFonts w:ascii="Times New Roman" w:hAnsi="Times New Roman"/>
          <w:bCs/>
          <w:i/>
          <w:color w:val="FF0000"/>
          <w:sz w:val="18"/>
        </w:rPr>
        <w:t xml:space="preserve"> stanoven</w:t>
      </w:r>
      <w:r w:rsidR="00BF296F" w:rsidRPr="005B1112">
        <w:rPr>
          <w:rFonts w:ascii="Times New Roman" w:hAnsi="Times New Roman"/>
          <w:bCs/>
          <w:i/>
          <w:color w:val="FF0000"/>
          <w:sz w:val="18"/>
        </w:rPr>
        <w:t>y</w:t>
      </w:r>
      <w:r w:rsidR="00C13A22" w:rsidRPr="005B1112">
        <w:rPr>
          <w:rFonts w:ascii="Times New Roman" w:hAnsi="Times New Roman"/>
          <w:bCs/>
          <w:i/>
          <w:color w:val="FF0000"/>
          <w:sz w:val="18"/>
        </w:rPr>
        <w:t xml:space="preserve"> individuálně dle povahy účelu použití dotace, termínu konání a délky projektu, na který je dotace poskytována)</w:t>
      </w:r>
      <w:r w:rsidR="00C13A22" w:rsidRPr="005B1112">
        <w:rPr>
          <w:rFonts w:ascii="Times New Roman" w:hAnsi="Times New Roman"/>
          <w:b/>
          <w:bCs/>
          <w:i/>
          <w:color w:val="FF0000"/>
          <w:szCs w:val="22"/>
        </w:rPr>
        <w:t>.</w:t>
      </w:r>
    </w:p>
    <w:p w14:paraId="756DE4F0" w14:textId="79256D98" w:rsidR="007F5C8D" w:rsidRDefault="00D317D7" w:rsidP="00817333">
      <w:pPr>
        <w:numPr>
          <w:ilvl w:val="0"/>
          <w:numId w:val="3"/>
        </w:numPr>
        <w:spacing w:before="120" w:after="120"/>
        <w:ind w:left="357" w:hanging="357"/>
        <w:jc w:val="both"/>
        <w:rPr>
          <w:rFonts w:ascii="Times New Roman" w:hAnsi="Times New Roman"/>
          <w:sz w:val="22"/>
          <w:szCs w:val="22"/>
        </w:rPr>
      </w:pPr>
      <w:bookmarkStart w:id="4"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w:t>
      </w:r>
      <w:r w:rsidR="00C568DA" w:rsidRPr="002D0324">
        <w:rPr>
          <w:rFonts w:ascii="Times New Roman" w:hAnsi="Times New Roman"/>
          <w:sz w:val="22"/>
          <w:szCs w:val="22"/>
        </w:rPr>
        <w:t xml:space="preserve">smlouvy, objednávky, </w:t>
      </w:r>
      <w:r w:rsidR="00C41A7A" w:rsidRPr="002D0324">
        <w:rPr>
          <w:rFonts w:ascii="Times New Roman" w:hAnsi="Times New Roman"/>
          <w:sz w:val="22"/>
          <w:szCs w:val="22"/>
        </w:rPr>
        <w:t xml:space="preserve">smlouvu o dílo, </w:t>
      </w:r>
      <w:r w:rsidR="00C568DA" w:rsidRPr="002D0324">
        <w:rPr>
          <w:rFonts w:ascii="Times New Roman" w:hAnsi="Times New Roman"/>
          <w:sz w:val="22"/>
          <w:szCs w:val="22"/>
        </w:rPr>
        <w:t>dodací listy</w:t>
      </w:r>
      <w:r w:rsidR="00C41A7A" w:rsidRPr="002D0324">
        <w:rPr>
          <w:rFonts w:ascii="Times New Roman" w:hAnsi="Times New Roman"/>
          <w:sz w:val="22"/>
          <w:szCs w:val="22"/>
        </w:rPr>
        <w:t xml:space="preserve">, </w:t>
      </w:r>
      <w:r w:rsidR="00C568DA" w:rsidRPr="002D0324">
        <w:rPr>
          <w:rFonts w:ascii="Times New Roman" w:hAnsi="Times New Roman"/>
          <w:sz w:val="22"/>
          <w:szCs w:val="22"/>
        </w:rPr>
        <w:t>rozpočtové náklady vztahující se k danému účetnímu dokladu</w:t>
      </w:r>
      <w:r w:rsidR="002A7498" w:rsidRPr="002D0324">
        <w:rPr>
          <w:rFonts w:ascii="Times New Roman" w:hAnsi="Times New Roman"/>
          <w:sz w:val="22"/>
          <w:szCs w:val="22"/>
        </w:rPr>
        <w:t>, protokol o převzetí díla a jimi podobné</w:t>
      </w:r>
      <w:r w:rsidR="00C568DA" w:rsidRPr="002A7498">
        <w:rPr>
          <w:rFonts w:ascii="Times New Roman" w:hAnsi="Times New Roman"/>
          <w:color w:val="4F81BD" w:themeColor="accent1"/>
          <w:sz w:val="22"/>
          <w:szCs w:val="22"/>
        </w:rPr>
        <w:t xml:space="preserve">. </w:t>
      </w:r>
      <w:r w:rsidR="00C568DA" w:rsidRPr="00216B30">
        <w:rPr>
          <w:rFonts w:ascii="Times New Roman" w:hAnsi="Times New Roman"/>
          <w:sz w:val="22"/>
          <w:szCs w:val="22"/>
        </w:rPr>
        <w:t xml:space="preserve">Forma čestného prohlášení je v případě výše uvedených dokladů neakceptovatelná. Příjemce je povinen doložit další doklady, vztahující se k použití dotace – např. daňové doklady, peněžní deník, výpisy z příslušného bankovního účtu, pokladní doklady, dohody o provedení práce, výkazy odpracované doby, doklady o způsobu provedení výplaty mezd, doklady o výši zákonných odvodů a jejich způsobu úhrady. </w:t>
      </w:r>
    </w:p>
    <w:p w14:paraId="13F4BA9C"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4"/>
    </w:p>
    <w:p w14:paraId="5FD49556" w14:textId="77777777" w:rsidR="00B05B5D"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lastRenderedPageBreak/>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w:t>
      </w:r>
      <w:r w:rsidR="00B05B5D">
        <w:rPr>
          <w:rFonts w:ascii="Times New Roman" w:hAnsi="Times New Roman"/>
          <w:sz w:val="22"/>
          <w:szCs w:val="22"/>
        </w:rPr>
        <w:t>, variabilní symbol</w:t>
      </w:r>
      <w:proofErr w:type="gramStart"/>
      <w:r w:rsidR="00B05B5D">
        <w:rPr>
          <w:rFonts w:ascii="Times New Roman" w:hAnsi="Times New Roman"/>
          <w:sz w:val="22"/>
          <w:szCs w:val="22"/>
        </w:rPr>
        <w:t>…….</w:t>
      </w:r>
      <w:proofErr w:type="gramEnd"/>
      <w:r w:rsidR="00B05B5D">
        <w:rPr>
          <w:rFonts w:ascii="Times New Roman" w:hAnsi="Times New Roman"/>
          <w:sz w:val="22"/>
          <w:szCs w:val="22"/>
        </w:rPr>
        <w:t>.</w:t>
      </w:r>
      <w:r w:rsidR="00C568DA" w:rsidRPr="00117ED2">
        <w:rPr>
          <w:rFonts w:ascii="Times New Roman" w:hAnsi="Times New Roman"/>
          <w:sz w:val="22"/>
          <w:szCs w:val="22"/>
        </w:rPr>
        <w:t xml:space="preserve"> nejpozději ve lhůtě stanovené pro předložení závěrečného finančního vypořádání dotace, včetně písemného odůvodnění vrácení dotace.</w:t>
      </w:r>
    </w:p>
    <w:p w14:paraId="2EA7AA0C" w14:textId="755F3080" w:rsidR="00964003" w:rsidRPr="00117ED2" w:rsidRDefault="00C568DA" w:rsidP="00B05B5D">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117ED2">
        <w:rPr>
          <w:rFonts w:ascii="Times New Roman" w:hAnsi="Times New Roman"/>
          <w:sz w:val="22"/>
          <w:szCs w:val="22"/>
        </w:rPr>
        <w:t>Příjemce je povinen při nerealizaci projektu odeslat poskytnutou dotaci zpět převodem na účet poskytovatele uvedený v záhlaví této smlouvy, a to v den oznámení vzniku změny, včetně písemného odůvodnění vrácení dotace.</w:t>
      </w:r>
    </w:p>
    <w:p w14:paraId="71334AC0"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57C79106"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1E1374F7"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B7ADCC7"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6374AF35"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0E727A45" w14:textId="6FA6CA31"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tace, pouze z</w:t>
      </w:r>
      <w:r w:rsidR="005B53B3" w:rsidRPr="00117ED2">
        <w:rPr>
          <w:rFonts w:ascii="Times New Roman" w:hAnsi="Times New Roman"/>
          <w:sz w:val="22"/>
        </w:rPr>
        <w:t> </w:t>
      </w:r>
      <w:r w:rsidR="002E5DE9" w:rsidRPr="00117ED2">
        <w:rPr>
          <w:rFonts w:ascii="Times New Roman" w:hAnsi="Times New Roman"/>
          <w:sz w:val="22"/>
        </w:rPr>
        <w:t>účtu</w:t>
      </w:r>
      <w:r w:rsidR="004D6C67" w:rsidRPr="00117ED2">
        <w:rPr>
          <w:rFonts w:ascii="Times New Roman" w:hAnsi="Times New Roman"/>
          <w:sz w:val="22"/>
        </w:rPr>
        <w:t xml:space="preserve"> příjemce.</w:t>
      </w:r>
    </w:p>
    <w:p w14:paraId="58C95FC3" w14:textId="77777777" w:rsidR="009668A9" w:rsidRPr="008A491C" w:rsidRDefault="009668A9" w:rsidP="00C82CBC">
      <w:pPr>
        <w:numPr>
          <w:ilvl w:val="0"/>
          <w:numId w:val="3"/>
        </w:numPr>
        <w:spacing w:before="120"/>
        <w:jc w:val="both"/>
        <w:rPr>
          <w:rFonts w:ascii="Times New Roman" w:hAnsi="Times New Roman"/>
          <w:i/>
          <w:sz w:val="22"/>
          <w:szCs w:val="22"/>
        </w:rPr>
      </w:pPr>
      <w:bookmarkStart w:id="5" w:name="_Ref519749341"/>
      <w:r w:rsidRPr="00117ED2">
        <w:rPr>
          <w:rFonts w:ascii="Times New Roman" w:hAnsi="Times New Roman"/>
          <w:i/>
          <w:sz w:val="22"/>
          <w:szCs w:val="22"/>
        </w:rPr>
        <w:t>V případě rozdělení příjemce na dva či více samostatné podniky v období 3 let</w:t>
      </w:r>
      <w:r w:rsidRPr="00A9338E">
        <w:rPr>
          <w:rFonts w:ascii="Times New Roman" w:hAnsi="Times New Roman"/>
          <w:i/>
          <w:sz w:val="22"/>
          <w:szCs w:val="22"/>
        </w:rPr>
        <w:t xml:space="preserve"> od nabytí účinnosti této smlouvy je příjemce povinen neprodleně po rozdělení kontaktovat poskytovatele a kompetentní koordinační orgán v oblasti veřejné podpory za účelem sdělení informace, jak podporu de minimis poskytnutou dle této smlouvy rozdělit v Centrálním registru podpor malého </w:t>
      </w:r>
      <w:r w:rsidRPr="001A465B">
        <w:rPr>
          <w:rFonts w:ascii="Times New Roman" w:hAnsi="Times New Roman"/>
          <w:i/>
          <w:sz w:val="22"/>
          <w:szCs w:val="22"/>
        </w:rPr>
        <w:t xml:space="preserve">rozsahu. Při nesplnění dané povinnosti se příjemce vystavuje případnému odejmutí dotace. </w:t>
      </w:r>
      <w:r w:rsidRPr="001A465B">
        <w:rPr>
          <w:rFonts w:ascii="Times New Roman" w:hAnsi="Times New Roman"/>
          <w:i/>
          <w:color w:val="FF0000"/>
          <w:sz w:val="18"/>
          <w:szCs w:val="18"/>
        </w:rPr>
        <w:t>(odstavec</w:t>
      </w:r>
      <w:r w:rsidR="00C75338" w:rsidRPr="001A465B">
        <w:rPr>
          <w:rFonts w:ascii="Times New Roman" w:hAnsi="Times New Roman"/>
          <w:i/>
          <w:color w:val="FF0000"/>
          <w:sz w:val="18"/>
          <w:szCs w:val="18"/>
        </w:rPr>
        <w:t xml:space="preserve"> </w:t>
      </w:r>
      <w:r w:rsidR="00117ED2" w:rsidRPr="001A465B">
        <w:rPr>
          <w:rFonts w:ascii="Times New Roman" w:hAnsi="Times New Roman"/>
          <w:i/>
          <w:color w:val="FF0000"/>
          <w:sz w:val="18"/>
          <w:szCs w:val="18"/>
        </w:rPr>
        <w:t>22</w:t>
      </w:r>
      <w:r w:rsidRPr="001A465B">
        <w:rPr>
          <w:rFonts w:ascii="Times New Roman" w:hAnsi="Times New Roman"/>
          <w:i/>
          <w:color w:val="FF0000"/>
          <w:sz w:val="18"/>
          <w:szCs w:val="18"/>
        </w:rPr>
        <w:t xml:space="preserve"> se</w:t>
      </w:r>
      <w:r w:rsidRPr="00817333">
        <w:rPr>
          <w:rFonts w:ascii="Times New Roman" w:hAnsi="Times New Roman"/>
          <w:i/>
          <w:color w:val="FF0000"/>
          <w:sz w:val="18"/>
          <w:szCs w:val="18"/>
        </w:rPr>
        <w:t xml:space="preserve"> použije pouze v případě, že je dotace poskytnutím podpory dle pravidla „de minimis“)</w:t>
      </w:r>
      <w:bookmarkEnd w:id="5"/>
    </w:p>
    <w:p w14:paraId="406BAC9B" w14:textId="77777777" w:rsidR="00964003" w:rsidRPr="00936662" w:rsidRDefault="000C60AC" w:rsidP="000C60AC">
      <w:pPr>
        <w:pStyle w:val="Nadpis1"/>
      </w:pPr>
      <w:r>
        <w:br/>
      </w:r>
      <w:r w:rsidR="00964003" w:rsidRPr="00936662">
        <w:t>Kontrola</w:t>
      </w:r>
    </w:p>
    <w:p w14:paraId="7DC99E4E"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3ACB1B09"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CD8F61F" w14:textId="698FE8D4" w:rsidR="00F82F26"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50E3FB29" w14:textId="77777777" w:rsidR="00C523C8" w:rsidRPr="00F74FFB" w:rsidRDefault="00C523C8" w:rsidP="00C523C8">
      <w:pPr>
        <w:tabs>
          <w:tab w:val="left" w:pos="0"/>
          <w:tab w:val="left" w:leader="underscore" w:pos="4706"/>
          <w:tab w:val="left" w:pos="4990"/>
          <w:tab w:val="left" w:leader="underscore" w:pos="9639"/>
        </w:tabs>
        <w:spacing w:before="120"/>
        <w:ind w:left="357"/>
        <w:jc w:val="both"/>
        <w:rPr>
          <w:rFonts w:ascii="Times New Roman" w:hAnsi="Times New Roman"/>
          <w:sz w:val="22"/>
          <w:szCs w:val="22"/>
        </w:rPr>
      </w:pPr>
    </w:p>
    <w:p w14:paraId="4A66D289" w14:textId="77777777" w:rsidR="00964003" w:rsidRPr="00936662" w:rsidRDefault="000C60AC" w:rsidP="00936662">
      <w:pPr>
        <w:pStyle w:val="Nadpis1"/>
      </w:pPr>
      <w:r>
        <w:lastRenderedPageBreak/>
        <w:br/>
      </w:r>
      <w:r w:rsidR="00964003" w:rsidRPr="00936662">
        <w:t>Sankční ujednání</w:t>
      </w:r>
    </w:p>
    <w:p w14:paraId="65A7B25A" w14:textId="2B0DC39F"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35A119CF" w14:textId="5D9E6844" w:rsidR="009167F7" w:rsidRPr="009167F7" w:rsidRDefault="009167F7" w:rsidP="009167F7">
      <w:pPr>
        <w:numPr>
          <w:ilvl w:val="0"/>
          <w:numId w:val="5"/>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color w:val="FF0000"/>
          <w:sz w:val="18"/>
          <w:szCs w:val="22"/>
        </w:rPr>
      </w:pPr>
      <w:r w:rsidRPr="00DA4299">
        <w:rPr>
          <w:rFonts w:ascii="Times New Roman" w:hAnsi="Times New Roman"/>
          <w:i/>
          <w:sz w:val="22"/>
          <w:szCs w:val="22"/>
        </w:rPr>
        <w:t>Vznikne-li v průběhu kalendářního roku podezření na porušení rozpočtové kázně, nebo dozví-li se poskytovatel, že činnost není příjemcem účelové dotace prováděna v souladu s předloženým projektem, nebo neplní-li příjemce závazky vyplývající ze smluvních ustanovení, je poskytovatel oprávněn pozastavit příjemci poskytnutí dalších finančních prostředků. Tuto skutečnost poskytovatel neprodleně oznámí příjemci. (</w:t>
      </w:r>
      <w:r w:rsidRPr="008C40A4">
        <w:rPr>
          <w:rFonts w:ascii="Times New Roman" w:hAnsi="Times New Roman"/>
          <w:i/>
          <w:color w:val="FF0000"/>
          <w:sz w:val="18"/>
          <w:szCs w:val="22"/>
        </w:rPr>
        <w:t>uvede se pouze v případě, že dotace bude příjemci poskytována ve splátkách)</w:t>
      </w:r>
      <w:r>
        <w:rPr>
          <w:rFonts w:ascii="Times New Roman" w:hAnsi="Times New Roman"/>
          <w:color w:val="FF0000"/>
          <w:sz w:val="18"/>
          <w:szCs w:val="22"/>
        </w:rPr>
        <w:t>.</w:t>
      </w:r>
    </w:p>
    <w:p w14:paraId="6D7205B4"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4A51B085"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3AEDA7F9" w14:textId="66F03334"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w:t>
      </w:r>
      <w:r w:rsidRPr="00155BD4">
        <w:rPr>
          <w:rFonts w:ascii="Times New Roman" w:hAnsi="Times New Roman"/>
          <w:sz w:val="22"/>
          <w:szCs w:val="22"/>
        </w:rPr>
        <w:t>uvedené v </w:t>
      </w:r>
      <w:r w:rsidR="00155BD4" w:rsidRPr="00155BD4">
        <w:rPr>
          <w:rFonts w:ascii="Times New Roman" w:hAnsi="Times New Roman"/>
          <w:sz w:val="22"/>
          <w:szCs w:val="22"/>
        </w:rPr>
        <w:t xml:space="preserve">čl. V </w:t>
      </w:r>
      <w:r w:rsidRPr="00155BD4">
        <w:rPr>
          <w:rFonts w:ascii="Times New Roman" w:hAnsi="Times New Roman"/>
          <w:sz w:val="22"/>
          <w:szCs w:val="22"/>
        </w:rPr>
        <w:t>odst.</w:t>
      </w:r>
      <w:r w:rsidR="00155BD4" w:rsidRPr="00155BD4">
        <w:rPr>
          <w:rFonts w:ascii="Times New Roman" w:hAnsi="Times New Roman"/>
          <w:sz w:val="22"/>
          <w:szCs w:val="22"/>
        </w:rPr>
        <w:t xml:space="preserve"> 13</w:t>
      </w:r>
      <w:r w:rsidRPr="0014271F">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4A51C423" w14:textId="77777777" w:rsidR="00DA4299" w:rsidRPr="0014271F"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14:paraId="3DDE53E6" w14:textId="64477974"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w:t>
      </w:r>
      <w:r w:rsidR="00155BD4" w:rsidRPr="00155BD4">
        <w:rPr>
          <w:rFonts w:ascii="Times New Roman" w:hAnsi="Times New Roman"/>
          <w:sz w:val="22"/>
          <w:szCs w:val="22"/>
        </w:rPr>
        <w:t>dle čl. V odst. 15 a odst. 16</w:t>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14271F" w:rsidRPr="0014271F">
        <w:rPr>
          <w:rFonts w:ascii="Times New Roman" w:hAnsi="Times New Roman"/>
          <w:i/>
          <w:sz w:val="22"/>
          <w:szCs w:val="22"/>
        </w:rPr>
        <w:t xml:space="preserve">průběžného nebo </w:t>
      </w:r>
      <w:r w:rsidR="00CA4B37" w:rsidRPr="00817333">
        <w:rPr>
          <w:rFonts w:ascii="Times New Roman" w:hAnsi="Times New Roman"/>
          <w:sz w:val="22"/>
          <w:szCs w:val="22"/>
        </w:rPr>
        <w:t>závěrečného</w:t>
      </w:r>
      <w:r w:rsidR="0014271F">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w:t>
      </w:r>
      <w:bookmarkStart w:id="6" w:name="_Hlk79580518"/>
      <w:r w:rsidR="00CA4B37" w:rsidRPr="00D317D7">
        <w:rPr>
          <w:rFonts w:ascii="Times New Roman" w:hAnsi="Times New Roman"/>
          <w:sz w:val="22"/>
          <w:szCs w:val="22"/>
        </w:rPr>
        <w:t xml:space="preserve">dle </w:t>
      </w:r>
      <w:r w:rsidR="00155BD4" w:rsidRPr="00155BD4">
        <w:rPr>
          <w:rFonts w:ascii="Times New Roman" w:hAnsi="Times New Roman"/>
          <w:sz w:val="22"/>
          <w:szCs w:val="22"/>
        </w:rPr>
        <w:fldChar w:fldCharType="begin"/>
      </w:r>
      <w:r w:rsidR="00155BD4" w:rsidRPr="00155BD4">
        <w:rPr>
          <w:rFonts w:ascii="Times New Roman" w:hAnsi="Times New Roman"/>
          <w:sz w:val="22"/>
          <w:szCs w:val="22"/>
        </w:rPr>
        <w:instrText xml:space="preserve"> REF _Ref519703308 \r \h  \* MERGEFORMAT </w:instrText>
      </w:r>
      <w:r w:rsidR="00155BD4" w:rsidRPr="00155BD4">
        <w:rPr>
          <w:rFonts w:ascii="Times New Roman" w:hAnsi="Times New Roman"/>
          <w:sz w:val="22"/>
          <w:szCs w:val="22"/>
        </w:rPr>
      </w:r>
      <w:r w:rsidR="00155BD4" w:rsidRPr="00155BD4">
        <w:rPr>
          <w:rFonts w:ascii="Times New Roman" w:hAnsi="Times New Roman"/>
          <w:sz w:val="22"/>
          <w:szCs w:val="22"/>
        </w:rPr>
        <w:fldChar w:fldCharType="separate"/>
      </w:r>
      <w:r w:rsidR="00155BD4" w:rsidRPr="00155BD4">
        <w:rPr>
          <w:rFonts w:ascii="Times New Roman" w:hAnsi="Times New Roman"/>
          <w:sz w:val="22"/>
          <w:szCs w:val="22"/>
        </w:rPr>
        <w:t>čl. V</w:t>
      </w:r>
      <w:r w:rsidR="00155BD4" w:rsidRPr="00155BD4">
        <w:rPr>
          <w:rFonts w:ascii="Times New Roman" w:hAnsi="Times New Roman"/>
          <w:sz w:val="22"/>
          <w:szCs w:val="22"/>
        </w:rPr>
        <w:fldChar w:fldCharType="end"/>
      </w:r>
      <w:r w:rsidR="00155BD4" w:rsidRPr="00155BD4">
        <w:rPr>
          <w:rFonts w:ascii="Times New Roman" w:hAnsi="Times New Roman"/>
          <w:sz w:val="22"/>
          <w:szCs w:val="22"/>
        </w:rPr>
        <w:t xml:space="preserve"> </w:t>
      </w:r>
      <w:r w:rsidR="00CA4B37" w:rsidRPr="00155BD4">
        <w:rPr>
          <w:rFonts w:ascii="Times New Roman" w:hAnsi="Times New Roman"/>
          <w:sz w:val="22"/>
          <w:szCs w:val="22"/>
        </w:rPr>
        <w:t xml:space="preserve">odst. </w:t>
      </w:r>
      <w:bookmarkStart w:id="7" w:name="_Hlk79580554"/>
      <w:r w:rsidR="00800CD4" w:rsidRPr="00155BD4">
        <w:rPr>
          <w:rFonts w:ascii="Times New Roman" w:hAnsi="Times New Roman"/>
          <w:sz w:val="22"/>
          <w:szCs w:val="22"/>
        </w:rPr>
        <w:t>1</w:t>
      </w:r>
      <w:r w:rsidR="00155BD4" w:rsidRPr="00155BD4">
        <w:rPr>
          <w:rFonts w:ascii="Times New Roman" w:hAnsi="Times New Roman"/>
          <w:sz w:val="22"/>
          <w:szCs w:val="22"/>
        </w:rPr>
        <w:t>5</w:t>
      </w:r>
      <w:r w:rsidR="0014271F" w:rsidRPr="00155BD4">
        <w:rPr>
          <w:rFonts w:ascii="Times New Roman" w:hAnsi="Times New Roman"/>
          <w:sz w:val="22"/>
          <w:szCs w:val="22"/>
        </w:rPr>
        <w:t xml:space="preserve"> </w:t>
      </w:r>
      <w:r w:rsidR="0014271F" w:rsidRPr="00155BD4">
        <w:rPr>
          <w:rFonts w:ascii="Times New Roman" w:hAnsi="Times New Roman"/>
          <w:iCs/>
          <w:sz w:val="22"/>
          <w:szCs w:val="22"/>
        </w:rPr>
        <w:t xml:space="preserve">a </w:t>
      </w:r>
      <w:r w:rsidR="00155BD4" w:rsidRPr="00155BD4">
        <w:rPr>
          <w:rFonts w:ascii="Times New Roman" w:hAnsi="Times New Roman"/>
          <w:iCs/>
          <w:sz w:val="22"/>
          <w:szCs w:val="22"/>
        </w:rPr>
        <w:t>odst</w:t>
      </w:r>
      <w:r w:rsidR="00155BD4" w:rsidRPr="00155BD4">
        <w:rPr>
          <w:rFonts w:ascii="Times New Roman" w:hAnsi="Times New Roman"/>
          <w:i/>
          <w:sz w:val="22"/>
          <w:szCs w:val="22"/>
        </w:rPr>
        <w:t xml:space="preserve">. </w:t>
      </w:r>
      <w:r w:rsidR="0014271F" w:rsidRPr="00155BD4">
        <w:rPr>
          <w:rFonts w:ascii="Times New Roman" w:hAnsi="Times New Roman"/>
          <w:iCs/>
          <w:sz w:val="22"/>
          <w:szCs w:val="22"/>
        </w:rPr>
        <w:t>1</w:t>
      </w:r>
      <w:r w:rsidR="00155BD4" w:rsidRPr="00155BD4">
        <w:rPr>
          <w:rFonts w:ascii="Times New Roman" w:hAnsi="Times New Roman"/>
          <w:iCs/>
          <w:sz w:val="22"/>
          <w:szCs w:val="22"/>
        </w:rPr>
        <w:t>6</w:t>
      </w:r>
      <w:r w:rsidRPr="00D317D7">
        <w:rPr>
          <w:rFonts w:ascii="Times New Roman" w:hAnsi="Times New Roman"/>
          <w:sz w:val="22"/>
          <w:szCs w:val="22"/>
        </w:rPr>
        <w:t> </w:t>
      </w:r>
      <w:bookmarkEnd w:id="6"/>
      <w:bookmarkEnd w:id="7"/>
      <w:r w:rsidRPr="00D317D7">
        <w:rPr>
          <w:rFonts w:ascii="Times New Roman" w:hAnsi="Times New Roman"/>
          <w:sz w:val="22"/>
          <w:szCs w:val="22"/>
        </w:rPr>
        <w:t>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14:paraId="15456896" w14:textId="77777777"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22CA07A7"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3B945E3F" w14:textId="77777777"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45F062CA" w14:textId="5FFB0D04"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14271F" w:rsidRPr="0014271F">
        <w:rPr>
          <w:rFonts w:ascii="Times New Roman" w:hAnsi="Times New Roman"/>
          <w:i/>
          <w:sz w:val="22"/>
          <w:szCs w:val="22"/>
        </w:rPr>
        <w:t>průběžné nebo</w:t>
      </w:r>
      <w:r w:rsidR="0014271F">
        <w:rPr>
          <w:rFonts w:ascii="Times New Roman" w:hAnsi="Times New Roman"/>
          <w:sz w:val="22"/>
          <w:szCs w:val="22"/>
        </w:rPr>
        <w:t xml:space="preserve">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6D45A7">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sidRPr="00155BD4">
        <w:rPr>
          <w:rFonts w:ascii="Times New Roman" w:hAnsi="Times New Roman"/>
          <w:sz w:val="22"/>
          <w:szCs w:val="22"/>
        </w:rPr>
        <w:t xml:space="preserve">odst. </w:t>
      </w:r>
      <w:r w:rsidR="00155BD4" w:rsidRPr="00155BD4">
        <w:rPr>
          <w:rFonts w:ascii="Times New Roman" w:hAnsi="Times New Roman"/>
          <w:sz w:val="22"/>
          <w:szCs w:val="22"/>
        </w:rPr>
        <w:t xml:space="preserve">15 a odst. 16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320AB94C" w14:textId="77777777"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14:paraId="6073713F" w14:textId="77777777"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47CC7985" w14:textId="77777777" w:rsidR="007F747D" w:rsidRPr="00A9338E" w:rsidRDefault="007F747D" w:rsidP="00705C24">
      <w:pPr>
        <w:numPr>
          <w:ilvl w:val="0"/>
          <w:numId w:val="7"/>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Tato smlouva nabývá úč</w:t>
      </w:r>
      <w:r w:rsidR="00F4568F" w:rsidRPr="00A9338E">
        <w:rPr>
          <w:rFonts w:ascii="Times New Roman" w:hAnsi="Times New Roman"/>
          <w:sz w:val="22"/>
          <w:szCs w:val="22"/>
        </w:rPr>
        <w:t xml:space="preserve">innosti dnem jejího uzavření </w:t>
      </w:r>
      <w:r w:rsidR="00F4568F" w:rsidRPr="001807EA">
        <w:rPr>
          <w:rFonts w:ascii="Times New Roman" w:hAnsi="Times New Roman"/>
          <w:color w:val="FF0000"/>
          <w:sz w:val="18"/>
          <w:szCs w:val="18"/>
        </w:rPr>
        <w:t>(</w:t>
      </w:r>
      <w:r w:rsidR="00F4568F" w:rsidRPr="001807EA">
        <w:rPr>
          <w:rFonts w:ascii="Times New Roman" w:hAnsi="Times New Roman"/>
          <w:i/>
          <w:color w:val="FF0000"/>
          <w:sz w:val="18"/>
          <w:szCs w:val="18"/>
        </w:rPr>
        <w:t>p</w:t>
      </w:r>
      <w:r w:rsidR="00F4568F" w:rsidRPr="00A9338E">
        <w:rPr>
          <w:rFonts w:ascii="Times New Roman" w:hAnsi="Times New Roman"/>
          <w:i/>
          <w:color w:val="FF0000"/>
          <w:sz w:val="18"/>
          <w:szCs w:val="22"/>
        </w:rPr>
        <w:t xml:space="preserve">oužije se tehdy, jedná-li se o smlouvu, na niž se nevztahuje povinnost uveřejnění prostřednictvím registru </w:t>
      </w:r>
      <w:r w:rsidR="00F4568F" w:rsidRPr="00011A47">
        <w:rPr>
          <w:rFonts w:ascii="Times New Roman" w:hAnsi="Times New Roman"/>
          <w:i/>
          <w:color w:val="FF0000"/>
          <w:sz w:val="18"/>
          <w:szCs w:val="22"/>
        </w:rPr>
        <w:t>smluv</w:t>
      </w:r>
      <w:r w:rsidR="00F4568F" w:rsidRPr="00011A47">
        <w:rPr>
          <w:rFonts w:ascii="Times New Roman" w:hAnsi="Times New Roman"/>
          <w:i/>
          <w:color w:val="FF0000"/>
          <w:sz w:val="22"/>
          <w:szCs w:val="22"/>
        </w:rPr>
        <w:t>)</w:t>
      </w:r>
      <w:r w:rsidR="00A9338E" w:rsidRPr="00A9338E">
        <w:rPr>
          <w:rFonts w:ascii="Times New Roman" w:hAnsi="Times New Roman"/>
          <w:sz w:val="22"/>
          <w:szCs w:val="22"/>
        </w:rPr>
        <w:t xml:space="preserve">. </w:t>
      </w: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r w:rsidR="00F4568F" w:rsidRPr="00C568DA">
        <w:rPr>
          <w:rFonts w:ascii="Times New Roman" w:hAnsi="Times New Roman"/>
          <w:color w:val="FF0000"/>
          <w:sz w:val="18"/>
          <w:szCs w:val="18"/>
        </w:rPr>
        <w:t>(</w:t>
      </w:r>
      <w:r w:rsidR="00F4568F" w:rsidRPr="00C568DA">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14:paraId="0A5EB1EB" w14:textId="77777777"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lastRenderedPageBreak/>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6DDC4C99"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37738DAE"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670F2F0A"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4C8C82E0" w14:textId="77777777"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4585A8F6" w14:textId="546B57E2"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sidRPr="002D0324">
        <w:rPr>
          <w:rFonts w:ascii="Times New Roman" w:hAnsi="Times New Roman"/>
          <w:sz w:val="22"/>
          <w:szCs w:val="22"/>
        </w:rPr>
        <w:t>Tato s</w:t>
      </w:r>
      <w:r w:rsidR="00964003" w:rsidRPr="002D0324">
        <w:rPr>
          <w:rFonts w:ascii="Times New Roman" w:hAnsi="Times New Roman"/>
          <w:sz w:val="22"/>
          <w:szCs w:val="22"/>
        </w:rPr>
        <w:t xml:space="preserve">mlouva je sepsána ve </w:t>
      </w:r>
      <w:r w:rsidR="00D024D0" w:rsidRPr="002D0324">
        <w:rPr>
          <w:rFonts w:ascii="Times New Roman" w:hAnsi="Times New Roman"/>
          <w:sz w:val="22"/>
          <w:szCs w:val="22"/>
        </w:rPr>
        <w:t>3</w:t>
      </w:r>
      <w:r w:rsidR="00964003" w:rsidRPr="002D0324">
        <w:rPr>
          <w:rFonts w:ascii="Times New Roman" w:hAnsi="Times New Roman"/>
          <w:sz w:val="22"/>
          <w:szCs w:val="22"/>
        </w:rPr>
        <w:t xml:space="preserve"> stejnopisech s platností originálu, z nichž </w:t>
      </w:r>
      <w:r w:rsidR="00083949" w:rsidRPr="002D0324">
        <w:rPr>
          <w:rFonts w:ascii="Times New Roman" w:hAnsi="Times New Roman"/>
          <w:sz w:val="22"/>
          <w:szCs w:val="22"/>
        </w:rPr>
        <w:t>2</w:t>
      </w:r>
      <w:r w:rsidR="00964003" w:rsidRPr="002D0324">
        <w:rPr>
          <w:rFonts w:ascii="Times New Roman" w:hAnsi="Times New Roman"/>
          <w:sz w:val="22"/>
          <w:szCs w:val="22"/>
        </w:rPr>
        <w:t xml:space="preserve"> vyhotovení obdrží poskytovatel a 1 příjemce</w:t>
      </w:r>
      <w:r w:rsidR="00D024D0" w:rsidRPr="002D0324">
        <w:rPr>
          <w:rFonts w:ascii="Times New Roman" w:hAnsi="Times New Roman"/>
          <w:sz w:val="22"/>
          <w:szCs w:val="22"/>
        </w:rPr>
        <w:t>/Tato smlouva je uzavřena v elektronické podobě</w:t>
      </w:r>
      <w:r w:rsidR="00D024D0" w:rsidRPr="00F4780D">
        <w:rPr>
          <w:rFonts w:ascii="Times New Roman" w:hAnsi="Times New Roman"/>
          <w:color w:val="4F81BD" w:themeColor="accent1"/>
          <w:sz w:val="22"/>
          <w:szCs w:val="22"/>
        </w:rPr>
        <w:t xml:space="preserve">. </w:t>
      </w:r>
      <w:r w:rsidR="00D024D0" w:rsidRPr="00C568DA">
        <w:rPr>
          <w:rFonts w:ascii="Times New Roman" w:hAnsi="Times New Roman"/>
          <w:color w:val="FF0000"/>
          <w:sz w:val="18"/>
          <w:szCs w:val="18"/>
        </w:rPr>
        <w:t>(</w:t>
      </w:r>
      <w:r w:rsidR="00D024D0">
        <w:rPr>
          <w:rFonts w:ascii="Times New Roman" w:hAnsi="Times New Roman"/>
          <w:i/>
          <w:color w:val="FF0000"/>
          <w:sz w:val="18"/>
          <w:szCs w:val="18"/>
        </w:rPr>
        <w:t>bude použita varianta dle výše poskytnuté dotace a podmínek programu</w:t>
      </w:r>
      <w:r w:rsidR="00D024D0" w:rsidRPr="00C568DA">
        <w:rPr>
          <w:rFonts w:ascii="Times New Roman" w:hAnsi="Times New Roman"/>
          <w:i/>
          <w:color w:val="FF0000"/>
          <w:sz w:val="18"/>
          <w:szCs w:val="18"/>
        </w:rPr>
        <w:t>).</w:t>
      </w:r>
    </w:p>
    <w:p w14:paraId="33AFBA30"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77868E96"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001917D1" w14:textId="77777777"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w:t>
      </w:r>
      <w:proofErr w:type="gramStart"/>
      <w:r w:rsidR="00D256E6" w:rsidRPr="00BB0886">
        <w:rPr>
          <w:rFonts w:ascii="Times New Roman" w:hAnsi="Times New Roman"/>
          <w:sz w:val="22"/>
          <w:szCs w:val="22"/>
        </w:rPr>
        <w:t>ZM….</w:t>
      </w:r>
      <w:proofErr w:type="gramEnd"/>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ze dne</w:t>
      </w:r>
      <w:r w:rsidR="00D256E6" w:rsidRPr="00BB0886">
        <w:rPr>
          <w:rFonts w:ascii="Times New Roman" w:hAnsi="Times New Roman"/>
          <w:sz w:val="22"/>
          <w:szCs w:val="22"/>
        </w:rPr>
        <w:t>……..</w:t>
      </w:r>
      <w:r w:rsidR="003A69E6" w:rsidRPr="00BB0886">
        <w:rPr>
          <w:rFonts w:ascii="Times New Roman" w:hAnsi="Times New Roman"/>
          <w:sz w:val="22"/>
          <w:szCs w:val="22"/>
        </w:rPr>
        <w:t>.</w:t>
      </w:r>
    </w:p>
    <w:p w14:paraId="5DB36233" w14:textId="77777777" w:rsidR="00865F9A" w:rsidRPr="006120DC" w:rsidRDefault="00865F9A" w:rsidP="00D54A52">
      <w:pPr>
        <w:jc w:val="both"/>
        <w:rPr>
          <w:rFonts w:ascii="Times New Roman" w:hAnsi="Times New Roman"/>
          <w:sz w:val="22"/>
          <w:szCs w:val="22"/>
        </w:rPr>
      </w:pPr>
    </w:p>
    <w:p w14:paraId="45CB1DFD" w14:textId="77777777"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1C4A43C3" w14:textId="77777777"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681642F0" w14:textId="77777777" w:rsidR="00D54A52" w:rsidRPr="006120DC" w:rsidRDefault="00D54A52" w:rsidP="00D54A52">
      <w:pPr>
        <w:tabs>
          <w:tab w:val="center" w:pos="1440"/>
        </w:tabs>
        <w:rPr>
          <w:rFonts w:ascii="Times New Roman" w:hAnsi="Times New Roman"/>
          <w:sz w:val="22"/>
          <w:szCs w:val="22"/>
        </w:rPr>
      </w:pPr>
    </w:p>
    <w:p w14:paraId="3912ECBF" w14:textId="77777777" w:rsidR="00750165" w:rsidRDefault="00750165" w:rsidP="00D54A52">
      <w:pPr>
        <w:tabs>
          <w:tab w:val="center" w:pos="1440"/>
        </w:tabs>
        <w:rPr>
          <w:rFonts w:ascii="Times New Roman" w:hAnsi="Times New Roman"/>
          <w:sz w:val="22"/>
          <w:szCs w:val="22"/>
        </w:rPr>
      </w:pPr>
    </w:p>
    <w:p w14:paraId="26112305" w14:textId="559DDEE3" w:rsidR="001A465B" w:rsidRDefault="001A465B" w:rsidP="00D54A52">
      <w:pPr>
        <w:tabs>
          <w:tab w:val="center" w:pos="1440"/>
        </w:tabs>
        <w:rPr>
          <w:rFonts w:ascii="Times New Roman" w:hAnsi="Times New Roman"/>
          <w:sz w:val="22"/>
          <w:szCs w:val="22"/>
        </w:rPr>
      </w:pPr>
    </w:p>
    <w:p w14:paraId="247C8BE0" w14:textId="590EC8F2" w:rsidR="009D6A18" w:rsidRDefault="009D6A18" w:rsidP="00D54A52">
      <w:pPr>
        <w:tabs>
          <w:tab w:val="center" w:pos="1440"/>
        </w:tabs>
        <w:rPr>
          <w:rFonts w:ascii="Times New Roman" w:hAnsi="Times New Roman"/>
          <w:sz w:val="22"/>
          <w:szCs w:val="22"/>
        </w:rPr>
      </w:pPr>
    </w:p>
    <w:p w14:paraId="273FCB13" w14:textId="77777777" w:rsidR="009D6A18" w:rsidRPr="006120DC" w:rsidRDefault="009D6A18" w:rsidP="00D54A52">
      <w:pPr>
        <w:tabs>
          <w:tab w:val="center" w:pos="1440"/>
        </w:tabs>
        <w:rPr>
          <w:rFonts w:ascii="Times New Roman" w:hAnsi="Times New Roman"/>
          <w:sz w:val="22"/>
          <w:szCs w:val="22"/>
        </w:rPr>
      </w:pPr>
    </w:p>
    <w:p w14:paraId="7A79432A"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1912A5FC" w14:textId="77777777"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14:paraId="7B76749B" w14:textId="77777777"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0928E" w14:textId="77777777" w:rsidR="009825C8" w:rsidRDefault="009825C8">
      <w:r>
        <w:separator/>
      </w:r>
    </w:p>
    <w:p w14:paraId="47A321E9" w14:textId="77777777" w:rsidR="009825C8" w:rsidRDefault="009825C8"/>
  </w:endnote>
  <w:endnote w:type="continuationSeparator" w:id="0">
    <w:p w14:paraId="5E659657" w14:textId="77777777" w:rsidR="009825C8" w:rsidRDefault="009825C8">
      <w:r>
        <w:continuationSeparator/>
      </w:r>
    </w:p>
    <w:p w14:paraId="7A4572F9" w14:textId="77777777" w:rsidR="009825C8" w:rsidRDefault="00982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79A7" w14:textId="77777777"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0D8F94C9" wp14:editId="584BA62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CF705D">
      <w:rPr>
        <w:rStyle w:val="slostrnky"/>
        <w:rFonts w:cs="Arial"/>
        <w:noProof/>
        <w:color w:val="003C69"/>
        <w:sz w:val="16"/>
      </w:rPr>
      <w:t>9</w:t>
    </w:r>
    <w:r w:rsidR="00351B8A" w:rsidRPr="00CA7728">
      <w:rPr>
        <w:rStyle w:val="slostrnky"/>
        <w:rFonts w:cs="Arial"/>
        <w:color w:val="003C69"/>
        <w:sz w:val="16"/>
      </w:rPr>
      <w:fldChar w:fldCharType="end"/>
    </w:r>
    <w:r w:rsidR="00B475E0" w:rsidRPr="00CA7728">
      <w:rPr>
        <w:rStyle w:val="slostrnky"/>
        <w:rFonts w:cs="Arial"/>
        <w:color w:val="003C69"/>
        <w:sz w:val="16"/>
      </w:rPr>
      <w:t>/</w:t>
    </w:r>
    <w:r w:rsidR="00234030">
      <w:rPr>
        <w:rStyle w:val="slostrnky"/>
        <w:rFonts w:cs="Arial"/>
        <w:color w:val="003C69"/>
        <w:sz w:val="16"/>
      </w:rPr>
      <w:t>9</w:t>
    </w:r>
    <w:r w:rsidR="00B475E0" w:rsidRPr="00CA7728">
      <w:rPr>
        <w:rStyle w:val="slostrnky"/>
        <w:rFonts w:cs="Arial"/>
        <w:color w:val="003C69"/>
        <w:sz w:val="16"/>
      </w:rPr>
      <w:tab/>
    </w:r>
    <w:r w:rsidR="00B475E0">
      <w:rPr>
        <w:rStyle w:val="slostrnky"/>
        <w:rFonts w:cs="Arial"/>
        <w:b/>
        <w:i/>
        <w:color w:val="003C69"/>
        <w:sz w:val="16"/>
      </w:rPr>
      <w:t>název projektu</w:t>
    </w:r>
  </w:p>
  <w:p w14:paraId="3D5204B6"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0E8B9C80"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1CFFA0EF"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9EBD2" w14:textId="77777777" w:rsidR="009825C8" w:rsidRDefault="009825C8">
      <w:r>
        <w:separator/>
      </w:r>
    </w:p>
    <w:p w14:paraId="02089974" w14:textId="77777777" w:rsidR="009825C8" w:rsidRDefault="009825C8"/>
  </w:footnote>
  <w:footnote w:type="continuationSeparator" w:id="0">
    <w:p w14:paraId="07214757" w14:textId="77777777" w:rsidR="009825C8" w:rsidRDefault="009825C8">
      <w:r>
        <w:continuationSeparator/>
      </w:r>
    </w:p>
    <w:p w14:paraId="22BA902D" w14:textId="77777777" w:rsidR="009825C8" w:rsidRDefault="00982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D77" w14:textId="77777777" w:rsidR="00BD6E2B" w:rsidRDefault="00BD6E2B" w:rsidP="00BD6E2B">
    <w:pPr>
      <w:pStyle w:val="Zhlav"/>
      <w:tabs>
        <w:tab w:val="clear" w:pos="4536"/>
        <w:tab w:val="left" w:pos="4008"/>
        <w:tab w:val="left" w:pos="7371"/>
      </w:tabs>
      <w:rPr>
        <w:rFonts w:cs="Arial"/>
        <w:b/>
        <w:noProof/>
        <w:color w:val="003C69"/>
      </w:rPr>
    </w:pPr>
  </w:p>
  <w:p w14:paraId="74CBC1D9" w14:textId="7A6F046B" w:rsidR="0037447F" w:rsidRDefault="002E678B" w:rsidP="0037447F">
    <w:pPr>
      <w:pStyle w:val="Zhlav"/>
      <w:tabs>
        <w:tab w:val="clear" w:pos="4536"/>
        <w:tab w:val="left" w:pos="4008"/>
        <w:tab w:val="left" w:pos="7371"/>
      </w:tabs>
      <w:rPr>
        <w:rFonts w:cs="Arial"/>
        <w:b/>
        <w:noProof/>
        <w:color w:val="003C69"/>
      </w:rPr>
    </w:pPr>
    <w:r>
      <w:rPr>
        <w:rFonts w:cs="Arial"/>
        <w:b/>
        <w:noProof/>
        <w:color w:val="003C69"/>
      </w:rPr>
      <w:tab/>
    </w:r>
    <w:r>
      <w:rPr>
        <w:rFonts w:cs="Arial"/>
        <w:b/>
        <w:noProof/>
        <w:color w:val="003C69"/>
      </w:rPr>
      <w:tab/>
    </w:r>
  </w:p>
  <w:p w14:paraId="47D896F2" w14:textId="0A8FA795" w:rsidR="0037447F" w:rsidRDefault="0037447F" w:rsidP="002E678B">
    <w:pPr>
      <w:pStyle w:val="Zhlav"/>
      <w:tabs>
        <w:tab w:val="clear" w:pos="4536"/>
        <w:tab w:val="left" w:pos="7371"/>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0755AD">
      <w:rPr>
        <w:rFonts w:cs="Arial"/>
        <w:b/>
        <w:color w:val="00ADD0"/>
        <w:sz w:val="24"/>
        <w:szCs w:val="24"/>
      </w:rPr>
      <w:t>Smlouva</w:t>
    </w:r>
    <w:r w:rsidR="002E678B" w:rsidRPr="000755AD">
      <w:rPr>
        <w:rFonts w:cs="Arial"/>
        <w:b/>
        <w:color w:val="00ADD0"/>
        <w:sz w:val="24"/>
        <w:szCs w:val="24"/>
      </w:rPr>
      <w:t xml:space="preserve"> č. </w:t>
    </w:r>
  </w:p>
  <w:p w14:paraId="5B239828" w14:textId="537C71CB"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7DC1"/>
    <w:multiLevelType w:val="hybridMultilevel"/>
    <w:tmpl w:val="C9BE2440"/>
    <w:lvl w:ilvl="0" w:tplc="F528B6B4">
      <w:start w:val="1"/>
      <w:numFmt w:val="decimal"/>
      <w:lvlText w:val="%1."/>
      <w:lvlJc w:val="left"/>
      <w:pPr>
        <w:tabs>
          <w:tab w:val="num" w:pos="360"/>
        </w:tabs>
        <w:ind w:left="360" w:hanging="360"/>
      </w:pPr>
      <w:rPr>
        <w:rFonts w:hint="default"/>
        <w:b/>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055DB6"/>
    <w:multiLevelType w:val="hybridMultilevel"/>
    <w:tmpl w:val="BD9A5B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4770635"/>
    <w:multiLevelType w:val="hybridMultilevel"/>
    <w:tmpl w:val="C074A1EC"/>
    <w:lvl w:ilvl="0" w:tplc="0F823786">
      <w:start w:val="6"/>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89151F"/>
    <w:multiLevelType w:val="hybridMultilevel"/>
    <w:tmpl w:val="EC10B9F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86B7073"/>
    <w:multiLevelType w:val="hybridMultilevel"/>
    <w:tmpl w:val="6BB20238"/>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1"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814C09"/>
    <w:multiLevelType w:val="hybridMultilevel"/>
    <w:tmpl w:val="70027252"/>
    <w:lvl w:ilvl="0" w:tplc="819A8978">
      <w:start w:val="1"/>
      <w:numFmt w:val="decimal"/>
      <w:lvlText w:val="%1."/>
      <w:lvlJc w:val="left"/>
      <w:pPr>
        <w:ind w:left="1080" w:hanging="360"/>
      </w:pPr>
      <w:rPr>
        <w:rFonts w:ascii="Times New Roman" w:hAnsi="Times New Roman" w:hint="default"/>
        <w:b/>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6"/>
  </w:num>
  <w:num w:numId="4">
    <w:abstractNumId w:val="18"/>
  </w:num>
  <w:num w:numId="5">
    <w:abstractNumId w:val="11"/>
  </w:num>
  <w:num w:numId="6">
    <w:abstractNumId w:val="19"/>
  </w:num>
  <w:num w:numId="7">
    <w:abstractNumId w:val="3"/>
  </w:num>
  <w:num w:numId="8">
    <w:abstractNumId w:val="12"/>
  </w:num>
  <w:num w:numId="9">
    <w:abstractNumId w:val="4"/>
  </w:num>
  <w:num w:numId="10">
    <w:abstractNumId w:val="8"/>
  </w:num>
  <w:num w:numId="11">
    <w:abstractNumId w:val="15"/>
  </w:num>
  <w:num w:numId="12">
    <w:abstractNumId w:val="2"/>
  </w:num>
  <w:num w:numId="13">
    <w:abstractNumId w:val="10"/>
  </w:num>
  <w:num w:numId="14">
    <w:abstractNumId w:val="1"/>
  </w:num>
  <w:num w:numId="15">
    <w:abstractNumId w:val="7"/>
  </w:num>
  <w:num w:numId="16">
    <w:abstractNumId w:val="14"/>
  </w:num>
  <w:num w:numId="17">
    <w:abstractNumId w:val="5"/>
  </w:num>
  <w:num w:numId="18">
    <w:abstractNumId w:val="13"/>
  </w:num>
  <w:num w:numId="19">
    <w:abstractNumId w:val="16"/>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55AD"/>
    <w:rsid w:val="000770E3"/>
    <w:rsid w:val="00083949"/>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0A12"/>
    <w:rsid w:val="000B23B9"/>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6F89"/>
    <w:rsid w:val="00147655"/>
    <w:rsid w:val="00147A07"/>
    <w:rsid w:val="00152EFE"/>
    <w:rsid w:val="0015343C"/>
    <w:rsid w:val="0015431A"/>
    <w:rsid w:val="0015595A"/>
    <w:rsid w:val="00155BD4"/>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97D3D"/>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422E"/>
    <w:rsid w:val="0024593C"/>
    <w:rsid w:val="0025340D"/>
    <w:rsid w:val="00253E11"/>
    <w:rsid w:val="0025493B"/>
    <w:rsid w:val="00256137"/>
    <w:rsid w:val="00256DA5"/>
    <w:rsid w:val="00260768"/>
    <w:rsid w:val="00261B7F"/>
    <w:rsid w:val="00262AD6"/>
    <w:rsid w:val="002654F7"/>
    <w:rsid w:val="002659EC"/>
    <w:rsid w:val="00267A19"/>
    <w:rsid w:val="002708A2"/>
    <w:rsid w:val="00270BBE"/>
    <w:rsid w:val="00271B14"/>
    <w:rsid w:val="0027382F"/>
    <w:rsid w:val="00274B68"/>
    <w:rsid w:val="00275B30"/>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A7498"/>
    <w:rsid w:val="002B14D5"/>
    <w:rsid w:val="002B14EB"/>
    <w:rsid w:val="002B1D2B"/>
    <w:rsid w:val="002B32A0"/>
    <w:rsid w:val="002B385F"/>
    <w:rsid w:val="002B45F1"/>
    <w:rsid w:val="002C0C16"/>
    <w:rsid w:val="002C1EF4"/>
    <w:rsid w:val="002C36F3"/>
    <w:rsid w:val="002C5BD5"/>
    <w:rsid w:val="002D0324"/>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678B"/>
    <w:rsid w:val="002E7193"/>
    <w:rsid w:val="002F1686"/>
    <w:rsid w:val="002F1879"/>
    <w:rsid w:val="002F6957"/>
    <w:rsid w:val="002F7ABA"/>
    <w:rsid w:val="00302404"/>
    <w:rsid w:val="00302B8C"/>
    <w:rsid w:val="00304380"/>
    <w:rsid w:val="0030478E"/>
    <w:rsid w:val="00304B36"/>
    <w:rsid w:val="00311E5F"/>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54B81"/>
    <w:rsid w:val="0036013A"/>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1F4C"/>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3514"/>
    <w:rsid w:val="003C3ED4"/>
    <w:rsid w:val="003C4F85"/>
    <w:rsid w:val="003C5B2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76C22"/>
    <w:rsid w:val="0048002E"/>
    <w:rsid w:val="0048084F"/>
    <w:rsid w:val="004815AE"/>
    <w:rsid w:val="00481BDB"/>
    <w:rsid w:val="00481CD3"/>
    <w:rsid w:val="00483F24"/>
    <w:rsid w:val="004840AF"/>
    <w:rsid w:val="00490768"/>
    <w:rsid w:val="004913E9"/>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27C78"/>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1BC4"/>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12EF"/>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46EA6"/>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05B6"/>
    <w:rsid w:val="00681216"/>
    <w:rsid w:val="00682309"/>
    <w:rsid w:val="0068372C"/>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5A7"/>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7C33"/>
    <w:rsid w:val="007F1346"/>
    <w:rsid w:val="007F4073"/>
    <w:rsid w:val="007F5A3C"/>
    <w:rsid w:val="007F5C8D"/>
    <w:rsid w:val="007F64B8"/>
    <w:rsid w:val="007F747D"/>
    <w:rsid w:val="007F7B34"/>
    <w:rsid w:val="00800CD4"/>
    <w:rsid w:val="00803136"/>
    <w:rsid w:val="00803CD1"/>
    <w:rsid w:val="008061D1"/>
    <w:rsid w:val="00810DCB"/>
    <w:rsid w:val="00812C35"/>
    <w:rsid w:val="00813996"/>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C06A7"/>
    <w:rsid w:val="008C277B"/>
    <w:rsid w:val="008C2C0A"/>
    <w:rsid w:val="008C40A4"/>
    <w:rsid w:val="008C733D"/>
    <w:rsid w:val="008C75CB"/>
    <w:rsid w:val="008D3687"/>
    <w:rsid w:val="008D48AC"/>
    <w:rsid w:val="008D7292"/>
    <w:rsid w:val="008E0731"/>
    <w:rsid w:val="008E2604"/>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167F7"/>
    <w:rsid w:val="00921EE2"/>
    <w:rsid w:val="009243F9"/>
    <w:rsid w:val="009259B7"/>
    <w:rsid w:val="00925CAB"/>
    <w:rsid w:val="00932302"/>
    <w:rsid w:val="00932DDA"/>
    <w:rsid w:val="00932E8F"/>
    <w:rsid w:val="00933E07"/>
    <w:rsid w:val="00936662"/>
    <w:rsid w:val="009413AC"/>
    <w:rsid w:val="009442E8"/>
    <w:rsid w:val="00945F6D"/>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25C8"/>
    <w:rsid w:val="00986558"/>
    <w:rsid w:val="0099464E"/>
    <w:rsid w:val="00995598"/>
    <w:rsid w:val="009A12A6"/>
    <w:rsid w:val="009A390F"/>
    <w:rsid w:val="009A6971"/>
    <w:rsid w:val="009A7B5D"/>
    <w:rsid w:val="009B0978"/>
    <w:rsid w:val="009B0E51"/>
    <w:rsid w:val="009B2217"/>
    <w:rsid w:val="009B31A3"/>
    <w:rsid w:val="009B3460"/>
    <w:rsid w:val="009B548C"/>
    <w:rsid w:val="009B681D"/>
    <w:rsid w:val="009C6D07"/>
    <w:rsid w:val="009C7837"/>
    <w:rsid w:val="009D4CC4"/>
    <w:rsid w:val="009D6A18"/>
    <w:rsid w:val="009D77CD"/>
    <w:rsid w:val="009E3A48"/>
    <w:rsid w:val="009E3B8F"/>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115"/>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1FA5"/>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5BC"/>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F0D5E"/>
    <w:rsid w:val="00AF1F20"/>
    <w:rsid w:val="00AF3B01"/>
    <w:rsid w:val="00AF3D0E"/>
    <w:rsid w:val="00AF420C"/>
    <w:rsid w:val="00AF478F"/>
    <w:rsid w:val="00AF56B2"/>
    <w:rsid w:val="00AF66A4"/>
    <w:rsid w:val="00B01ED8"/>
    <w:rsid w:val="00B02BEB"/>
    <w:rsid w:val="00B034F1"/>
    <w:rsid w:val="00B05B5D"/>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334B"/>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BF66B5"/>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5B84"/>
    <w:rsid w:val="00C267F9"/>
    <w:rsid w:val="00C26CD7"/>
    <w:rsid w:val="00C273A6"/>
    <w:rsid w:val="00C3256D"/>
    <w:rsid w:val="00C33BA9"/>
    <w:rsid w:val="00C344D8"/>
    <w:rsid w:val="00C34AF1"/>
    <w:rsid w:val="00C35353"/>
    <w:rsid w:val="00C37A2C"/>
    <w:rsid w:val="00C41A7A"/>
    <w:rsid w:val="00C42ECC"/>
    <w:rsid w:val="00C43C14"/>
    <w:rsid w:val="00C45FC7"/>
    <w:rsid w:val="00C46ADD"/>
    <w:rsid w:val="00C50239"/>
    <w:rsid w:val="00C51F98"/>
    <w:rsid w:val="00C523C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2E65"/>
    <w:rsid w:val="00CF5CD2"/>
    <w:rsid w:val="00CF705D"/>
    <w:rsid w:val="00CF7EEE"/>
    <w:rsid w:val="00D0058F"/>
    <w:rsid w:val="00D024D0"/>
    <w:rsid w:val="00D03BE7"/>
    <w:rsid w:val="00D052B8"/>
    <w:rsid w:val="00D11310"/>
    <w:rsid w:val="00D12654"/>
    <w:rsid w:val="00D1456E"/>
    <w:rsid w:val="00D15038"/>
    <w:rsid w:val="00D1506B"/>
    <w:rsid w:val="00D1733F"/>
    <w:rsid w:val="00D20712"/>
    <w:rsid w:val="00D22D65"/>
    <w:rsid w:val="00D22D94"/>
    <w:rsid w:val="00D23A7C"/>
    <w:rsid w:val="00D23AC4"/>
    <w:rsid w:val="00D256E6"/>
    <w:rsid w:val="00D25D97"/>
    <w:rsid w:val="00D275CE"/>
    <w:rsid w:val="00D27FC0"/>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56534"/>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48C1"/>
    <w:rsid w:val="00E35ECC"/>
    <w:rsid w:val="00E3638F"/>
    <w:rsid w:val="00E36C7E"/>
    <w:rsid w:val="00E36FCD"/>
    <w:rsid w:val="00E37019"/>
    <w:rsid w:val="00E37E09"/>
    <w:rsid w:val="00E42233"/>
    <w:rsid w:val="00E44CA0"/>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4780D"/>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3CCF"/>
    <w:rsid w:val="00FB6148"/>
    <w:rsid w:val="00FB6667"/>
    <w:rsid w:val="00FB7C69"/>
    <w:rsid w:val="00FC1992"/>
    <w:rsid w:val="00FC2516"/>
    <w:rsid w:val="00FC29E3"/>
    <w:rsid w:val="00FC4717"/>
    <w:rsid w:val="00FC5FC4"/>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6ECBD"/>
  <w15:docId w15:val="{8860DC79-9DED-4E55-84F4-99DBD42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2A92-BB7F-4FE5-8F29-AA71E7EA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4452</Words>
  <Characters>26271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30662</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4</cp:revision>
  <cp:lastPrinted>2021-08-11T07:59:00Z</cp:lastPrinted>
  <dcterms:created xsi:type="dcterms:W3CDTF">2021-08-25T08:40:00Z</dcterms:created>
  <dcterms:modified xsi:type="dcterms:W3CDTF">2021-09-16T07:15:00Z</dcterms:modified>
</cp:coreProperties>
</file>