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1C" w:rsidRDefault="0048051C" w:rsidP="0048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51C">
        <w:rPr>
          <w:rFonts w:ascii="Times New Roman" w:hAnsi="Times New Roman" w:cs="Times New Roman"/>
          <w:b/>
          <w:sz w:val="28"/>
          <w:szCs w:val="28"/>
        </w:rPr>
        <w:t xml:space="preserve">Program na poskytování peněžních prostředků </w:t>
      </w:r>
    </w:p>
    <w:p w:rsidR="00E87823" w:rsidRDefault="0048051C" w:rsidP="0048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51C">
        <w:rPr>
          <w:rFonts w:ascii="Times New Roman" w:hAnsi="Times New Roman" w:cs="Times New Roman"/>
          <w:b/>
          <w:sz w:val="28"/>
          <w:szCs w:val="28"/>
        </w:rPr>
        <w:t>z rozpočtu statut</w:t>
      </w:r>
      <w:r w:rsidR="003925F2">
        <w:rPr>
          <w:rFonts w:ascii="Times New Roman" w:hAnsi="Times New Roman" w:cs="Times New Roman"/>
          <w:b/>
          <w:sz w:val="28"/>
          <w:szCs w:val="28"/>
        </w:rPr>
        <w:t>árního města Ostravy na rok 2017</w:t>
      </w:r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51C" w:rsidRPr="0048051C" w:rsidRDefault="0048051C" w:rsidP="00F5673E">
      <w:pPr>
        <w:pStyle w:val="Odstavecseseznamem"/>
        <w:numPr>
          <w:ilvl w:val="0"/>
          <w:numId w:val="1"/>
        </w:numPr>
        <w:spacing w:after="0" w:line="240" w:lineRule="auto"/>
        <w:ind w:left="0" w:firstLine="357"/>
        <w:jc w:val="center"/>
        <w:rPr>
          <w:rFonts w:ascii="Times New Roman" w:hAnsi="Times New Roman" w:cs="Times New Roman"/>
        </w:rPr>
      </w:pPr>
      <w:proofErr w:type="gramStart"/>
      <w:r w:rsidRPr="0048051C">
        <w:rPr>
          <w:rFonts w:ascii="Times New Roman" w:hAnsi="Times New Roman" w:cs="Times New Roman"/>
          <w:b/>
          <w:sz w:val="28"/>
          <w:szCs w:val="28"/>
        </w:rPr>
        <w:t>O B E C N Á   Č Á S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8051C">
        <w:rPr>
          <w:rFonts w:ascii="Times New Roman" w:hAnsi="Times New Roman" w:cs="Times New Roman"/>
          <w:b/>
          <w:sz w:val="28"/>
          <w:szCs w:val="28"/>
        </w:rPr>
        <w:t>T</w:t>
      </w:r>
      <w:proofErr w:type="gramEnd"/>
    </w:p>
    <w:p w:rsidR="0048051C" w:rsidRDefault="0048051C" w:rsidP="004805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051C" w:rsidRPr="00521261" w:rsidRDefault="0048051C" w:rsidP="00521261">
      <w:pPr>
        <w:pStyle w:val="Zsadynadpis-roveI"/>
        <w:numPr>
          <w:ilvl w:val="0"/>
          <w:numId w:val="2"/>
        </w:numPr>
        <w:spacing w:after="240"/>
        <w:ind w:left="567" w:hanging="141"/>
      </w:pPr>
      <w:r w:rsidRPr="00B61BD7">
        <w:t xml:space="preserve">Podmínky pro poskytování </w:t>
      </w:r>
      <w:r>
        <w:t>peněžních prostředků</w:t>
      </w:r>
    </w:p>
    <w:p w:rsidR="0048051C" w:rsidRPr="00C25D2B" w:rsidRDefault="0048051C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Statutární město Ostrava poskytuje ze svého rozpočtu </w:t>
      </w:r>
      <w:r w:rsidR="00931262">
        <w:t xml:space="preserve">formou výběrového řízení </w:t>
      </w:r>
      <w:r w:rsidRPr="00C25D2B">
        <w:t>peněžní prostředky na podporu projektů, které jsou v souladu s </w:t>
      </w:r>
      <w:r w:rsidRPr="00C07DAA">
        <w:t xml:space="preserve">vyhlášeným </w:t>
      </w:r>
      <w:r w:rsidRPr="00C25D2B">
        <w:t>Programem na poskytování peněžních prostředků z rozpočtu statut</w:t>
      </w:r>
      <w:r w:rsidR="0002497B">
        <w:t>árního města Ostravy na rok 2017</w:t>
      </w:r>
      <w:r w:rsidRPr="00C25D2B">
        <w:t xml:space="preserve"> (dále jen program). Program je členěn na Obecnou a Speciální část.</w:t>
      </w:r>
    </w:p>
    <w:p w:rsidR="0048051C" w:rsidRDefault="0048051C" w:rsidP="00521261">
      <w:pPr>
        <w:pStyle w:val="Zsady-prosttext"/>
        <w:numPr>
          <w:ilvl w:val="0"/>
          <w:numId w:val="4"/>
        </w:numPr>
        <w:ind w:left="709"/>
      </w:pPr>
      <w:r w:rsidRPr="0048051C">
        <w:t>Účelem programu je stanovení jednotných a zá</w:t>
      </w:r>
      <w:r w:rsidR="00233656">
        <w:t>vazných podmínek pro žadatele a </w:t>
      </w:r>
      <w:r w:rsidRPr="0048051C">
        <w:t>příjemce veřejné finanční podpory.</w:t>
      </w:r>
    </w:p>
    <w:p w:rsidR="0048051C" w:rsidRPr="00462371" w:rsidRDefault="0048051C" w:rsidP="00521261">
      <w:pPr>
        <w:pStyle w:val="Zsady-prosttext"/>
        <w:numPr>
          <w:ilvl w:val="0"/>
          <w:numId w:val="4"/>
        </w:numPr>
        <w:ind w:left="709"/>
      </w:pPr>
      <w:r w:rsidRPr="00462371">
        <w:t>Peněžními prostředky se rozumí účelové dotace</w:t>
      </w:r>
      <w:r w:rsidR="006408C8" w:rsidRPr="00462371">
        <w:t>.</w:t>
      </w:r>
    </w:p>
    <w:p w:rsidR="0048051C" w:rsidRDefault="0048051C" w:rsidP="00521261">
      <w:pPr>
        <w:pStyle w:val="Zsady-prosttext"/>
        <w:numPr>
          <w:ilvl w:val="0"/>
          <w:numId w:val="4"/>
        </w:numPr>
        <w:ind w:left="709"/>
      </w:pPr>
      <w:r w:rsidRPr="0048051C">
        <w:t>Zastupitelstvo města Ostravy rozhodlo o vyhlášení výběrového řízení pro poskytování peněžních prostředků na podporu projektů v těchto oblastech:</w:t>
      </w:r>
    </w:p>
    <w:tbl>
      <w:tblPr>
        <w:tblStyle w:val="Mkatabulky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3900"/>
      </w:tblGrid>
      <w:tr w:rsidR="00462F29" w:rsidTr="00C25D2B">
        <w:tc>
          <w:tcPr>
            <w:tcW w:w="4605" w:type="dxa"/>
          </w:tcPr>
          <w:p w:rsidR="00462F29" w:rsidRPr="00C25D2B" w:rsidRDefault="00462F29" w:rsidP="00203AE8">
            <w:pPr>
              <w:pStyle w:val="Zsady-prosttext"/>
              <w:numPr>
                <w:ilvl w:val="0"/>
                <w:numId w:val="5"/>
              </w:numPr>
              <w:spacing w:after="0"/>
              <w:rPr>
                <w:b/>
              </w:rPr>
            </w:pPr>
            <w:r w:rsidRPr="00C25D2B">
              <w:rPr>
                <w:b/>
              </w:rPr>
              <w:t>tělovýchova a sport</w:t>
            </w:r>
          </w:p>
        </w:tc>
        <w:tc>
          <w:tcPr>
            <w:tcW w:w="3900" w:type="dxa"/>
          </w:tcPr>
          <w:p w:rsidR="00462F29" w:rsidRDefault="00462F29" w:rsidP="00203AE8">
            <w:pPr>
              <w:pStyle w:val="Zsady-prosttext"/>
              <w:spacing w:after="0"/>
            </w:pPr>
            <w:r>
              <w:t xml:space="preserve">kód </w:t>
            </w:r>
            <w:proofErr w:type="spellStart"/>
            <w:r>
              <w:rPr>
                <w:b/>
              </w:rPr>
              <w:t>ŠaS</w:t>
            </w:r>
            <w:proofErr w:type="spellEnd"/>
            <w:r w:rsidRPr="00C25D2B">
              <w:rPr>
                <w:b/>
              </w:rPr>
              <w:t>/TV</w:t>
            </w:r>
          </w:p>
        </w:tc>
      </w:tr>
      <w:tr w:rsidR="00462F29" w:rsidTr="00C25D2B">
        <w:tc>
          <w:tcPr>
            <w:tcW w:w="4605" w:type="dxa"/>
          </w:tcPr>
          <w:p w:rsidR="00462F29" w:rsidRPr="00C25D2B" w:rsidRDefault="00462F29" w:rsidP="00203AE8">
            <w:pPr>
              <w:pStyle w:val="Zsady-prosttext"/>
              <w:numPr>
                <w:ilvl w:val="0"/>
                <w:numId w:val="5"/>
              </w:numPr>
              <w:spacing w:after="0"/>
              <w:rPr>
                <w:b/>
              </w:rPr>
            </w:pPr>
            <w:r>
              <w:rPr>
                <w:b/>
              </w:rPr>
              <w:t>vrcholový sport</w:t>
            </w:r>
          </w:p>
        </w:tc>
        <w:tc>
          <w:tcPr>
            <w:tcW w:w="3900" w:type="dxa"/>
          </w:tcPr>
          <w:p w:rsidR="00462F29" w:rsidRDefault="00462F29" w:rsidP="00203AE8">
            <w:pPr>
              <w:pStyle w:val="Zsady-prosttext"/>
              <w:spacing w:after="0"/>
            </w:pPr>
            <w:r>
              <w:t xml:space="preserve">kód </w:t>
            </w:r>
            <w:proofErr w:type="spellStart"/>
            <w:r w:rsidRPr="00BE73A6">
              <w:rPr>
                <w:b/>
              </w:rPr>
              <w:t>ŠaS</w:t>
            </w:r>
            <w:proofErr w:type="spellEnd"/>
            <w:r w:rsidRPr="00BE73A6">
              <w:rPr>
                <w:b/>
              </w:rPr>
              <w:t>/</w:t>
            </w:r>
            <w:r>
              <w:rPr>
                <w:b/>
              </w:rPr>
              <w:t>VS</w:t>
            </w:r>
          </w:p>
        </w:tc>
      </w:tr>
      <w:tr w:rsidR="00462F29" w:rsidTr="00C25D2B">
        <w:tc>
          <w:tcPr>
            <w:tcW w:w="4605" w:type="dxa"/>
          </w:tcPr>
          <w:p w:rsidR="00462F29" w:rsidRPr="00C25D2B" w:rsidRDefault="00462F29" w:rsidP="009F0620">
            <w:pPr>
              <w:pStyle w:val="Zsady-prosttext"/>
              <w:spacing w:after="0"/>
              <w:ind w:left="720"/>
              <w:rPr>
                <w:b/>
              </w:rPr>
            </w:pPr>
          </w:p>
        </w:tc>
        <w:tc>
          <w:tcPr>
            <w:tcW w:w="3900" w:type="dxa"/>
          </w:tcPr>
          <w:p w:rsidR="00462F29" w:rsidRPr="00BE73A6" w:rsidRDefault="00462F29" w:rsidP="00203AE8">
            <w:pPr>
              <w:pStyle w:val="Zsady-prosttext"/>
              <w:spacing w:after="0"/>
              <w:rPr>
                <w:b/>
              </w:rPr>
            </w:pPr>
          </w:p>
        </w:tc>
      </w:tr>
    </w:tbl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Peněžní prostředky nelze požadovat na realizaci totožných projektů v různých oblastech.</w:t>
      </w:r>
    </w:p>
    <w:p w:rsid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Peněžní prostředky</w:t>
      </w:r>
      <w:r>
        <w:t xml:space="preserve"> jsou poskytovány na projekty: </w:t>
      </w: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B16714" w:rsidRPr="00B16714" w:rsidRDefault="00B16714" w:rsidP="00B1671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8"/>
        </w:rPr>
      </w:pPr>
    </w:p>
    <w:p w:rsidR="00C25D2B" w:rsidRPr="00B16714" w:rsidRDefault="00C25D2B" w:rsidP="00B16714">
      <w:pPr>
        <w:pStyle w:val="Zsady-prosttext"/>
        <w:numPr>
          <w:ilvl w:val="1"/>
          <w:numId w:val="9"/>
        </w:numPr>
        <w:spacing w:after="0"/>
        <w:ind w:left="993"/>
      </w:pPr>
      <w:r w:rsidRPr="00B16714">
        <w:t>realizované na území města Ostravy s celoměstským dopadem,</w:t>
      </w:r>
    </w:p>
    <w:p w:rsidR="00C25D2B" w:rsidRPr="00B16714" w:rsidRDefault="00C25D2B" w:rsidP="00B16714">
      <w:pPr>
        <w:pStyle w:val="Zsady-prosttext"/>
        <w:numPr>
          <w:ilvl w:val="1"/>
          <w:numId w:val="9"/>
        </w:numPr>
        <w:spacing w:after="0"/>
        <w:ind w:left="993"/>
      </w:pPr>
      <w:r w:rsidRPr="00B16714">
        <w:t>realizované v souladu se strategiemi a prioritami sc</w:t>
      </w:r>
      <w:r w:rsidR="00B16714" w:rsidRPr="00B16714">
        <w:t xml:space="preserve">hválenými zastupitelstvem města </w:t>
      </w:r>
      <w:r w:rsidRPr="00B16714">
        <w:t>Ostravy,</w:t>
      </w:r>
    </w:p>
    <w:p w:rsidR="00C25D2B" w:rsidRPr="00B16714" w:rsidRDefault="00C25D2B" w:rsidP="00B16714">
      <w:pPr>
        <w:pStyle w:val="Zsady-prosttext"/>
        <w:numPr>
          <w:ilvl w:val="1"/>
          <w:numId w:val="9"/>
        </w:numPr>
        <w:spacing w:after="0"/>
        <w:ind w:left="993"/>
      </w:pPr>
      <w:r w:rsidRPr="00B16714">
        <w:t>se vztahem k městu Ostrava,</w:t>
      </w:r>
    </w:p>
    <w:p w:rsidR="00C25D2B" w:rsidRPr="00B16714" w:rsidRDefault="00C25D2B" w:rsidP="00B16714">
      <w:pPr>
        <w:pStyle w:val="Zsady-prosttext"/>
        <w:numPr>
          <w:ilvl w:val="1"/>
          <w:numId w:val="9"/>
        </w:numPr>
        <w:spacing w:after="0"/>
        <w:ind w:left="993"/>
      </w:pPr>
      <w:r w:rsidRPr="00B16714">
        <w:t>výrazně představujícím město Ostravu a region v jiných částech ČR,</w:t>
      </w:r>
    </w:p>
    <w:p w:rsidR="00C25D2B" w:rsidRPr="00B16714" w:rsidRDefault="00C25D2B" w:rsidP="00B16714">
      <w:pPr>
        <w:pStyle w:val="Zsady-prosttext"/>
        <w:numPr>
          <w:ilvl w:val="1"/>
          <w:numId w:val="9"/>
        </w:numPr>
        <w:ind w:left="992" w:hanging="431"/>
      </w:pPr>
      <w:r w:rsidRPr="00B16714">
        <w:t>reprezentujícím město Ostravu, region a republiku v zahraničí.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Do výběrového řízení je předkládána žádost o poskytnutí peněžních prostředků včetně povinných příloh. Vzor žádosti a návod pro vyp</w:t>
      </w:r>
      <w:r w:rsidR="00233656">
        <w:t>lnění žádosti je k dispozici na </w:t>
      </w:r>
      <w:r w:rsidRPr="00C25D2B">
        <w:t>webových stránkách statutárního města Ostravy</w:t>
      </w:r>
      <w:r w:rsidR="00B16714">
        <w:t xml:space="preserve"> </w:t>
      </w:r>
      <w:hyperlink r:id="rId8" w:history="1">
        <w:r w:rsidR="00B16714" w:rsidRPr="00F17AB9">
          <w:rPr>
            <w:rStyle w:val="Hypertextovodkaz"/>
          </w:rPr>
          <w:t>http://www.ostrava.cz/</w:t>
        </w:r>
      </w:hyperlink>
      <w:r w:rsidRPr="00C25D2B">
        <w:t>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Do výběrového řízení mohou podat žádost </w:t>
      </w:r>
      <w:r w:rsidR="00EF32DE">
        <w:t>subjekty splňující podmínky uvedené v </w:t>
      </w:r>
      <w:r w:rsidRPr="00C25D2B">
        <w:t xml:space="preserve">tomto programu </w:t>
      </w:r>
      <w:r w:rsidRPr="00C07DAA">
        <w:t>dle</w:t>
      </w:r>
      <w:r w:rsidR="00B33B63">
        <w:t xml:space="preserve"> článku III. a ve</w:t>
      </w:r>
      <w:r w:rsidRPr="00C07DAA">
        <w:t xml:space="preserve"> Speciální části</w:t>
      </w:r>
      <w:r w:rsidR="003602E3">
        <w:t xml:space="preserve"> příslušné oblasti</w:t>
      </w:r>
      <w:r w:rsidRPr="00C07DAA">
        <w:t>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Peněžní prostředky nelze poskytnout, pokud by jejich poskytnutím byla překročena hranice podpory de </w:t>
      </w:r>
      <w:proofErr w:type="spellStart"/>
      <w:r w:rsidRPr="00C25D2B">
        <w:t>minimis</w:t>
      </w:r>
      <w:proofErr w:type="spellEnd"/>
      <w:r w:rsidRPr="00C25D2B">
        <w:t xml:space="preserve"> ve výši stanovené nařízením Komise EU, účinným v době poskytnutí dotace/příspěvku (v době vyhlášení Programu platí nařízení Komise EU č.</w:t>
      </w:r>
      <w:r w:rsidR="00B16714">
        <w:t> </w:t>
      </w:r>
      <w:r w:rsidRPr="00C25D2B">
        <w:t xml:space="preserve">1407/2013), jestliže ta bude mít povahu opatření, jež je veřejnou podporou. 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Na poskytnutí peněžních prostředků není právní nárok. Žádosti zaslané do výběrového řízení se nevrací.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lastRenderedPageBreak/>
        <w:t xml:space="preserve">Žadatelem požadovaná výše peněžních prostředků musí být v žádosti </w:t>
      </w:r>
      <w:r w:rsidRPr="008F15BD">
        <w:rPr>
          <w:b/>
        </w:rPr>
        <w:t>zaokrouhlena na</w:t>
      </w:r>
      <w:r w:rsidR="00B16714" w:rsidRPr="008F15BD">
        <w:rPr>
          <w:b/>
        </w:rPr>
        <w:t> c</w:t>
      </w:r>
      <w:r w:rsidRPr="008F15BD">
        <w:rPr>
          <w:b/>
        </w:rPr>
        <w:t>elé tisícikoruny</w:t>
      </w:r>
      <w:r w:rsidRPr="00C25D2B">
        <w:t xml:space="preserve">. Při nesplnění této podmínky bude požadovaná výše peněžních prostředků v návrhu předloženém orgánům města zaokrouhlena na celé tisícikoruny směrem dolů. 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Peněžní prostředky jsou poskytnuty na základě </w:t>
      </w:r>
      <w:r w:rsidR="005B55D2">
        <w:t xml:space="preserve">žádosti prostřednictvím veřejnoprávní </w:t>
      </w:r>
      <w:r w:rsidR="004E5ECD">
        <w:t>smlouvy, ve které</w:t>
      </w:r>
      <w:r w:rsidRPr="00C25D2B">
        <w:t xml:space="preserve"> je stanoven účel použití peněžních prostředků, splá</w:t>
      </w:r>
      <w:r w:rsidR="00B16714">
        <w:t>tkový kalendář a povinnosti pro </w:t>
      </w:r>
      <w:r w:rsidRPr="00C25D2B">
        <w:t xml:space="preserve">příjemce. </w:t>
      </w:r>
    </w:p>
    <w:p w:rsidR="00C25D2B" w:rsidRPr="00204096" w:rsidRDefault="00C25D2B" w:rsidP="00521261">
      <w:pPr>
        <w:pStyle w:val="Zsady-prosttext"/>
        <w:numPr>
          <w:ilvl w:val="0"/>
          <w:numId w:val="4"/>
        </w:numPr>
        <w:ind w:left="709"/>
        <w:rPr>
          <w:b/>
        </w:rPr>
      </w:pPr>
      <w:r w:rsidRPr="00204096">
        <w:rPr>
          <w:b/>
        </w:rPr>
        <w:t xml:space="preserve">Pokud v období od podání žádosti do doby uzavření </w:t>
      </w:r>
      <w:r w:rsidR="005B55D2" w:rsidRPr="00204096">
        <w:rPr>
          <w:b/>
        </w:rPr>
        <w:t xml:space="preserve">veřejnoprávní </w:t>
      </w:r>
      <w:r w:rsidR="004E5ECD">
        <w:rPr>
          <w:b/>
        </w:rPr>
        <w:t>smlouvy</w:t>
      </w:r>
      <w:r w:rsidRPr="00204096">
        <w:rPr>
          <w:b/>
        </w:rPr>
        <w:t xml:space="preserve"> dojde k </w:t>
      </w:r>
      <w:r w:rsidR="00B16714" w:rsidRPr="00204096">
        <w:rPr>
          <w:b/>
        </w:rPr>
        <w:t> j</w:t>
      </w:r>
      <w:r w:rsidRPr="00204096">
        <w:rPr>
          <w:b/>
        </w:rPr>
        <w:t xml:space="preserve">akýmkoliv změnám, je žadatel </w:t>
      </w:r>
      <w:r w:rsidRPr="00204096">
        <w:rPr>
          <w:b/>
          <w:u w:val="single"/>
        </w:rPr>
        <w:t>povin</w:t>
      </w:r>
      <w:r w:rsidR="005B55D2" w:rsidRPr="00204096">
        <w:rPr>
          <w:b/>
          <w:u w:val="single"/>
        </w:rPr>
        <w:t>en bez prodlení změny oznámit a </w:t>
      </w:r>
      <w:r w:rsidRPr="00204096">
        <w:rPr>
          <w:b/>
          <w:u w:val="single"/>
        </w:rPr>
        <w:t>doložit je</w:t>
      </w:r>
      <w:r w:rsidRPr="00204096">
        <w:rPr>
          <w:b/>
        </w:rPr>
        <w:t>.</w:t>
      </w:r>
    </w:p>
    <w:p w:rsidR="00C25D2B" w:rsidRP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 xml:space="preserve">Poskytnuté peněžní prostředky jsou ve smyslu zákona č. 320/2001 Sb., o finanční kontrole ve veřejné správě a o změně některých zákonů </w:t>
      </w:r>
      <w:r w:rsidR="00B16714">
        <w:t>(zákon o finanční kontrole), ve z</w:t>
      </w:r>
      <w:r w:rsidRPr="00C25D2B">
        <w:t xml:space="preserve">nění pozdějších předpisů, veřejnou finanční podporou a vztahují se na ni všechna ustanovení tohoto zákona. </w:t>
      </w:r>
    </w:p>
    <w:p w:rsidR="00C25D2B" w:rsidRDefault="00C25D2B" w:rsidP="00521261">
      <w:pPr>
        <w:pStyle w:val="Zsady-prosttext"/>
        <w:numPr>
          <w:ilvl w:val="0"/>
          <w:numId w:val="4"/>
        </w:numPr>
        <w:ind w:left="709"/>
      </w:pPr>
      <w:r w:rsidRPr="00C25D2B">
        <w:t>Příjemce peněžních prostředků umožní poskytovateli průběžně monitorovat realizaci projektu, finančn</w:t>
      </w:r>
      <w:r w:rsidR="004E5ECD">
        <w:t>í a věcné plnění smlouvy o poskytnutí dotace</w:t>
      </w:r>
      <w:r w:rsidRPr="00C25D2B">
        <w:t>.</w:t>
      </w:r>
    </w:p>
    <w:p w:rsidR="00521261" w:rsidRDefault="00931262" w:rsidP="00931262">
      <w:pPr>
        <w:pStyle w:val="Zsady-prosttext"/>
        <w:numPr>
          <w:ilvl w:val="0"/>
          <w:numId w:val="4"/>
        </w:numPr>
        <w:ind w:left="709"/>
      </w:pPr>
      <w:r w:rsidRPr="00C25D2B">
        <w:t>Program a případné poskytnutí peněžních prostředků se řídí zákonem č. 250/2000 Sb., o</w:t>
      </w:r>
      <w:r>
        <w:t> </w:t>
      </w:r>
      <w:r w:rsidRPr="00C25D2B">
        <w:t>rozpočtových pravidlech územních rozpočtů, ve znění pozdějších předpisů</w:t>
      </w:r>
      <w:r w:rsidR="003B69D8">
        <w:t>.</w:t>
      </w:r>
    </w:p>
    <w:p w:rsidR="006F5B3C" w:rsidRDefault="006F5B3C" w:rsidP="00521261">
      <w:pPr>
        <w:pStyle w:val="Zsadynadpis-roveI"/>
        <w:numPr>
          <w:ilvl w:val="0"/>
          <w:numId w:val="2"/>
        </w:numPr>
        <w:spacing w:after="240"/>
        <w:ind w:left="567" w:hanging="141"/>
      </w:pPr>
      <w:r w:rsidRPr="006F5B3C">
        <w:t>Průběh výběrového řízení</w:t>
      </w:r>
    </w:p>
    <w:p w:rsidR="00521261" w:rsidRDefault="00521261" w:rsidP="00521261">
      <w:pPr>
        <w:pStyle w:val="Zsady-prosttext"/>
        <w:numPr>
          <w:ilvl w:val="0"/>
          <w:numId w:val="10"/>
        </w:numPr>
        <w:ind w:left="709"/>
        <w:rPr>
          <w:b/>
        </w:rPr>
      </w:pPr>
      <w:r w:rsidRPr="00521261">
        <w:rPr>
          <w:b/>
        </w:rPr>
        <w:t xml:space="preserve">Lhůty pro podání žádostí jsou uvedeny pro jednotlivé oblasti v jejich speciálních částech.   </w:t>
      </w:r>
    </w:p>
    <w:p w:rsidR="00204096" w:rsidRPr="00204096" w:rsidRDefault="00204096" w:rsidP="00204096">
      <w:pPr>
        <w:pStyle w:val="Zsady-prosttext"/>
        <w:numPr>
          <w:ilvl w:val="0"/>
          <w:numId w:val="10"/>
        </w:numPr>
        <w:ind w:left="709"/>
        <w:rPr>
          <w:b/>
        </w:rPr>
      </w:pPr>
      <w:r w:rsidRPr="00204096">
        <w:rPr>
          <w:b/>
        </w:rPr>
        <w:t>Nesplňuje-li žádost podmínky dané tímto programem</w:t>
      </w:r>
      <w:r w:rsidR="00910168">
        <w:rPr>
          <w:b/>
        </w:rPr>
        <w:t xml:space="preserve"> (lhůta pro podání žádost</w:t>
      </w:r>
      <w:r w:rsidR="002E5793">
        <w:rPr>
          <w:b/>
        </w:rPr>
        <w:t>i</w:t>
      </w:r>
      <w:r w:rsidR="00910168">
        <w:rPr>
          <w:b/>
        </w:rPr>
        <w:t>, způsob podání žádost</w:t>
      </w:r>
      <w:r w:rsidR="002E5793">
        <w:rPr>
          <w:b/>
        </w:rPr>
        <w:t>i</w:t>
      </w:r>
      <w:r w:rsidR="00910168">
        <w:rPr>
          <w:b/>
        </w:rPr>
        <w:t>)</w:t>
      </w:r>
      <w:r w:rsidRPr="00204096">
        <w:rPr>
          <w:b/>
        </w:rPr>
        <w:t>, bude vyřazena z výběrového řízení.</w:t>
      </w:r>
    </w:p>
    <w:p w:rsidR="00521261" w:rsidRDefault="00521261" w:rsidP="00521261">
      <w:pPr>
        <w:pStyle w:val="Zsady-prosttext"/>
        <w:numPr>
          <w:ilvl w:val="0"/>
          <w:numId w:val="10"/>
        </w:numPr>
        <w:ind w:left="709"/>
      </w:pPr>
      <w:r>
        <w:t>Přípravu a průběh výběrového řízení zajišťují příslušné odbory magistrátu.</w:t>
      </w:r>
    </w:p>
    <w:p w:rsidR="00521261" w:rsidRDefault="00521261" w:rsidP="00521261">
      <w:pPr>
        <w:pStyle w:val="Zsady-prosttext"/>
        <w:numPr>
          <w:ilvl w:val="0"/>
          <w:numId w:val="10"/>
        </w:numPr>
        <w:ind w:left="709"/>
      </w:pPr>
      <w:r>
        <w:t>Pro objektivní posouzení žádosti mohou být vyžádány doplňující údaje a doklady.</w:t>
      </w:r>
    </w:p>
    <w:p w:rsidR="00521261" w:rsidRDefault="00521261" w:rsidP="00521261">
      <w:pPr>
        <w:pStyle w:val="Zsady-prosttext"/>
        <w:numPr>
          <w:ilvl w:val="0"/>
          <w:numId w:val="10"/>
        </w:numPr>
        <w:ind w:left="709"/>
      </w:pPr>
      <w:r>
        <w:t xml:space="preserve">Předložené žádosti </w:t>
      </w:r>
      <w:r w:rsidR="004E5ECD">
        <w:rPr>
          <w:b/>
        </w:rPr>
        <w:t xml:space="preserve">posuzuje příslušná komise </w:t>
      </w:r>
      <w:r w:rsidRPr="00521261">
        <w:rPr>
          <w:b/>
        </w:rPr>
        <w:t>rady města</w:t>
      </w:r>
      <w:r w:rsidR="004E5ECD">
        <w:t xml:space="preserve"> Ostravy, která </w:t>
      </w:r>
      <w:r>
        <w:t>doporučuje poskytnutí peněžních prostředků, jejich výši a účel použití radě města.</w:t>
      </w:r>
    </w:p>
    <w:p w:rsidR="00521261" w:rsidRPr="00521261" w:rsidRDefault="00521261" w:rsidP="00521261">
      <w:pPr>
        <w:pStyle w:val="Zsady-prosttext"/>
        <w:numPr>
          <w:ilvl w:val="0"/>
          <w:numId w:val="10"/>
        </w:numPr>
        <w:ind w:left="709"/>
      </w:pPr>
      <w:r w:rsidRPr="00931262">
        <w:rPr>
          <w:b/>
          <w:u w:val="single"/>
        </w:rPr>
        <w:t>O poskytnutí dotací</w:t>
      </w:r>
      <w:r w:rsidRPr="00931262">
        <w:rPr>
          <w:b/>
        </w:rPr>
        <w:t xml:space="preserve"> </w:t>
      </w:r>
      <w:r w:rsidRPr="00521261">
        <w:rPr>
          <w:b/>
        </w:rPr>
        <w:t>rozhodne zastupitelstv</w:t>
      </w:r>
      <w:r>
        <w:rPr>
          <w:b/>
        </w:rPr>
        <w:t>o města na návrh rady města</w:t>
      </w:r>
      <w:r w:rsidR="00204096">
        <w:rPr>
          <w:b/>
        </w:rPr>
        <w:t>,</w:t>
      </w:r>
      <w:r w:rsidRPr="00521261">
        <w:rPr>
          <w:b/>
        </w:rPr>
        <w:t xml:space="preserve"> ne</w:t>
      </w:r>
      <w:r w:rsidR="0002497B">
        <w:rPr>
          <w:b/>
        </w:rPr>
        <w:t xml:space="preserve">jpozději </w:t>
      </w:r>
      <w:r w:rsidR="0002497B" w:rsidRPr="00CF1331">
        <w:rPr>
          <w:b/>
        </w:rPr>
        <w:t xml:space="preserve">do konce </w:t>
      </w:r>
      <w:r w:rsidR="00404611" w:rsidRPr="00CF1331">
        <w:rPr>
          <w:b/>
        </w:rPr>
        <w:t>červ</w:t>
      </w:r>
      <w:r w:rsidR="0002497B" w:rsidRPr="00CF1331">
        <w:rPr>
          <w:b/>
        </w:rPr>
        <w:t>na 2017</w:t>
      </w:r>
      <w:r w:rsidR="00EF32DE">
        <w:rPr>
          <w:b/>
        </w:rPr>
        <w:t>. V </w:t>
      </w:r>
      <w:r w:rsidRPr="00521261">
        <w:rPr>
          <w:b/>
        </w:rPr>
        <w:t>případě dalšího kola výběrového řízení bude rozhodnu</w:t>
      </w:r>
      <w:r w:rsidR="0002497B">
        <w:rPr>
          <w:b/>
        </w:rPr>
        <w:t>to nejpozději do konce roku 2017</w:t>
      </w:r>
      <w:r w:rsidRPr="00521261">
        <w:rPr>
          <w:b/>
        </w:rPr>
        <w:t>.</w:t>
      </w:r>
    </w:p>
    <w:p w:rsidR="00521261" w:rsidRDefault="00521261" w:rsidP="00521261">
      <w:pPr>
        <w:pStyle w:val="Zsadynadpis-roveI"/>
        <w:numPr>
          <w:ilvl w:val="0"/>
          <w:numId w:val="2"/>
        </w:numPr>
        <w:spacing w:after="240"/>
        <w:ind w:left="567" w:hanging="141"/>
      </w:pPr>
      <w:r w:rsidRPr="00521261">
        <w:t>Příjem žádostí do výběrového řízení</w:t>
      </w:r>
    </w:p>
    <w:p w:rsidR="00521261" w:rsidRDefault="00521261" w:rsidP="00521261">
      <w:pPr>
        <w:pStyle w:val="Zsady-prosttext"/>
        <w:numPr>
          <w:ilvl w:val="0"/>
          <w:numId w:val="11"/>
        </w:numPr>
        <w:rPr>
          <w:b/>
        </w:rPr>
      </w:pPr>
      <w:r w:rsidRPr="00521261">
        <w:rPr>
          <w:b/>
        </w:rPr>
        <w:t>Pro řádné po</w:t>
      </w:r>
      <w:bookmarkStart w:id="0" w:name="_GoBack"/>
      <w:bookmarkEnd w:id="0"/>
      <w:r w:rsidRPr="00521261">
        <w:rPr>
          <w:b/>
        </w:rPr>
        <w:t>dání žádosti je rozhodující ve stanovené lhůtě:</w:t>
      </w:r>
    </w:p>
    <w:p w:rsidR="00521261" w:rsidRDefault="00521261" w:rsidP="008F15BD">
      <w:pPr>
        <w:pStyle w:val="Zsady-prosttext"/>
        <w:numPr>
          <w:ilvl w:val="1"/>
          <w:numId w:val="12"/>
        </w:numPr>
        <w:spacing w:after="120"/>
        <w:ind w:left="992" w:hanging="431"/>
      </w:pPr>
      <w:r>
        <w:t xml:space="preserve">vyplnění žádosti o poskytnutí peněžních prostředků prostřednictvím </w:t>
      </w:r>
      <w:r w:rsidRPr="00BC5023">
        <w:rPr>
          <w:b/>
        </w:rPr>
        <w:t xml:space="preserve">elektronického formuláře a </w:t>
      </w:r>
      <w:r w:rsidRPr="00BC5023">
        <w:rPr>
          <w:b/>
          <w:u w:val="single"/>
        </w:rPr>
        <w:t>odeslání do databáze</w:t>
      </w:r>
      <w:r>
        <w:t xml:space="preserve">, </w:t>
      </w:r>
    </w:p>
    <w:p w:rsidR="00521261" w:rsidRDefault="00521261" w:rsidP="00BC5023">
      <w:pPr>
        <w:pStyle w:val="Zsady-prosttext"/>
        <w:numPr>
          <w:ilvl w:val="1"/>
          <w:numId w:val="12"/>
        </w:numPr>
        <w:ind w:left="992" w:hanging="431"/>
      </w:pPr>
      <w:r>
        <w:t xml:space="preserve">odevzdání žádosti v jednom </w:t>
      </w:r>
      <w:r w:rsidRPr="00BC5023">
        <w:rPr>
          <w:b/>
        </w:rPr>
        <w:t>podepsaném originále</w:t>
      </w:r>
      <w:r w:rsidR="00BC5023">
        <w:t xml:space="preserve"> s povinnými přílohami v </w:t>
      </w:r>
      <w:r>
        <w:t>tištěné verzi nesvázané pevnou vazbou.</w:t>
      </w:r>
    </w:p>
    <w:p w:rsidR="00BC5023" w:rsidRDefault="00BC5023" w:rsidP="004E5ECD">
      <w:pPr>
        <w:pStyle w:val="Zsady-prosttext"/>
        <w:numPr>
          <w:ilvl w:val="0"/>
          <w:numId w:val="11"/>
        </w:numPr>
        <w:spacing w:after="120"/>
        <w:ind w:left="714" w:hanging="357"/>
      </w:pPr>
      <w:r w:rsidRPr="00BC5023">
        <w:lastRenderedPageBreak/>
        <w:t>Žádost je možné podat:</w:t>
      </w:r>
    </w:p>
    <w:p w:rsidR="00BC5023" w:rsidRDefault="00BC5023" w:rsidP="00BC5023">
      <w:pPr>
        <w:pStyle w:val="Zsady-prosttext"/>
        <w:numPr>
          <w:ilvl w:val="0"/>
          <w:numId w:val="13"/>
        </w:numPr>
        <w:spacing w:after="0"/>
        <w:ind w:left="1418"/>
      </w:pPr>
      <w:r>
        <w:t>odesláním do datové schránky</w:t>
      </w:r>
      <w:r w:rsidR="003B69D8">
        <w:t xml:space="preserve"> </w:t>
      </w:r>
      <w:r w:rsidR="003B69D8" w:rsidRPr="00BC5023">
        <w:rPr>
          <w:b/>
        </w:rPr>
        <w:t>ID: 5zubv7w</w:t>
      </w:r>
      <w:r w:rsidR="003B69D8">
        <w:rPr>
          <w:b/>
        </w:rPr>
        <w:t xml:space="preserve"> </w:t>
      </w:r>
      <w:r w:rsidR="006F3726">
        <w:t>(</w:t>
      </w:r>
      <w:r>
        <w:t>rozhodující je datum odeslání do zpřístupněné datové schránky města</w:t>
      </w:r>
      <w:r w:rsidR="003B69D8">
        <w:t xml:space="preserve">, </w:t>
      </w:r>
      <w:r w:rsidR="00204096">
        <w:t>kaž</w:t>
      </w:r>
      <w:r w:rsidR="00910168">
        <w:t>dá příloha zprávy musí být opatřena elektronickým podpisem),</w:t>
      </w:r>
    </w:p>
    <w:p w:rsidR="00BC5023" w:rsidRDefault="00BC5023" w:rsidP="00BC5023">
      <w:pPr>
        <w:pStyle w:val="Zsady-prosttext"/>
        <w:numPr>
          <w:ilvl w:val="0"/>
          <w:numId w:val="13"/>
        </w:numPr>
        <w:spacing w:after="0"/>
        <w:ind w:left="1418"/>
      </w:pPr>
      <w:r>
        <w:t>osobně na podatelně magistrátu (rozhodující je datum razítka podatelny),</w:t>
      </w:r>
    </w:p>
    <w:p w:rsidR="00BC5023" w:rsidRDefault="00BC5023" w:rsidP="00BC5023">
      <w:pPr>
        <w:pStyle w:val="Zsady-prosttext"/>
        <w:numPr>
          <w:ilvl w:val="0"/>
          <w:numId w:val="13"/>
        </w:numPr>
        <w:ind w:left="1417" w:hanging="357"/>
      </w:pPr>
      <w:r>
        <w:t>zaslat doporučeně poštou (rozhodující je datum razítka podání k poštovní přepravě) na adresu:</w:t>
      </w:r>
    </w:p>
    <w:p w:rsidR="00BC5023" w:rsidRPr="00BC5023" w:rsidRDefault="00BC5023" w:rsidP="00BC5023">
      <w:pPr>
        <w:pStyle w:val="Zsady-prosttext"/>
        <w:spacing w:after="0"/>
        <w:ind w:left="1418"/>
        <w:rPr>
          <w:b/>
        </w:rPr>
      </w:pPr>
      <w:r w:rsidRPr="00BC5023">
        <w:rPr>
          <w:b/>
        </w:rPr>
        <w:t xml:space="preserve">Magistrát města Ostravy </w:t>
      </w:r>
    </w:p>
    <w:p w:rsidR="00BC5023" w:rsidRPr="00BC5023" w:rsidRDefault="00BC5023" w:rsidP="00BC5023">
      <w:pPr>
        <w:pStyle w:val="Zsady-prosttext"/>
        <w:spacing w:after="0"/>
        <w:ind w:left="1418"/>
        <w:rPr>
          <w:b/>
        </w:rPr>
      </w:pPr>
      <w:r w:rsidRPr="00BC5023">
        <w:rPr>
          <w:b/>
        </w:rPr>
        <w:t>Prokešovo náměstí 8</w:t>
      </w:r>
    </w:p>
    <w:p w:rsidR="00BC5023" w:rsidRDefault="00BC5023" w:rsidP="00BC5023">
      <w:pPr>
        <w:pStyle w:val="Zsady-prosttext"/>
        <w:ind w:left="1418"/>
        <w:rPr>
          <w:b/>
        </w:rPr>
      </w:pPr>
      <w:r w:rsidRPr="00BC5023">
        <w:rPr>
          <w:b/>
        </w:rPr>
        <w:t>729 30 Ostrava</w:t>
      </w:r>
    </w:p>
    <w:p w:rsidR="00BC5023" w:rsidRPr="00BC5023" w:rsidRDefault="00BC5023" w:rsidP="00BC5023">
      <w:pPr>
        <w:pStyle w:val="Zsady-prosttext"/>
        <w:spacing w:after="0"/>
        <w:ind w:left="1418"/>
        <w:rPr>
          <w:b/>
        </w:rPr>
      </w:pPr>
      <w:r w:rsidRPr="00BC5023">
        <w:rPr>
          <w:b/>
        </w:rPr>
        <w:t xml:space="preserve">a to v obálce označené: </w:t>
      </w:r>
    </w:p>
    <w:p w:rsidR="00BC5023" w:rsidRPr="00BC5023" w:rsidRDefault="00BC5023" w:rsidP="00BC5023">
      <w:pPr>
        <w:pStyle w:val="Zsady-prosttext"/>
        <w:numPr>
          <w:ilvl w:val="0"/>
          <w:numId w:val="14"/>
        </w:numPr>
        <w:spacing w:after="0"/>
        <w:ind w:left="1843"/>
        <w:rPr>
          <w:b/>
        </w:rPr>
      </w:pPr>
      <w:r w:rsidRPr="00BC5023">
        <w:rPr>
          <w:b/>
        </w:rPr>
        <w:t>názvem příslušné oblasti a jejím kódem,</w:t>
      </w:r>
    </w:p>
    <w:p w:rsidR="00BC5023" w:rsidRPr="00BC5023" w:rsidRDefault="00BC5023" w:rsidP="00BC5023">
      <w:pPr>
        <w:pStyle w:val="Zsady-prosttext"/>
        <w:numPr>
          <w:ilvl w:val="0"/>
          <w:numId w:val="14"/>
        </w:numPr>
        <w:spacing w:after="0"/>
        <w:ind w:left="1843"/>
        <w:rPr>
          <w:b/>
        </w:rPr>
      </w:pPr>
      <w:r w:rsidRPr="00BC5023">
        <w:rPr>
          <w:b/>
        </w:rPr>
        <w:t>plným jménem (názvem) žadatele a adresou,</w:t>
      </w:r>
    </w:p>
    <w:p w:rsidR="00BC5023" w:rsidRDefault="00BC5023" w:rsidP="00BC5023">
      <w:pPr>
        <w:pStyle w:val="Zsady-prosttext"/>
        <w:numPr>
          <w:ilvl w:val="0"/>
          <w:numId w:val="14"/>
        </w:numPr>
        <w:ind w:left="1843"/>
        <w:rPr>
          <w:b/>
        </w:rPr>
      </w:pPr>
      <w:r w:rsidRPr="00BC5023">
        <w:rPr>
          <w:b/>
        </w:rPr>
        <w:t>textem "Neotvírat – žádost o poskytnutí peněžních prostředků".</w:t>
      </w:r>
    </w:p>
    <w:p w:rsidR="00BC5023" w:rsidRDefault="00BC5023" w:rsidP="00BC5023">
      <w:pPr>
        <w:pStyle w:val="Zsadynadpis-roveI"/>
        <w:numPr>
          <w:ilvl w:val="0"/>
          <w:numId w:val="2"/>
        </w:numPr>
        <w:spacing w:after="240"/>
        <w:ind w:left="567" w:hanging="141"/>
      </w:pPr>
      <w:r w:rsidRPr="00BC5023">
        <w:t>Informace a kontakty</w:t>
      </w:r>
    </w:p>
    <w:p w:rsidR="00BC5023" w:rsidRDefault="00BC5023" w:rsidP="00BC5023">
      <w:pPr>
        <w:pStyle w:val="Zsady-prosttext"/>
        <w:numPr>
          <w:ilvl w:val="0"/>
          <w:numId w:val="15"/>
        </w:numPr>
      </w:pPr>
      <w:r w:rsidRPr="00BC5023">
        <w:rPr>
          <w:b/>
        </w:rPr>
        <w:t>Informace o vyhlášení výběrového řízení pro poskytování peněžních prostředků</w:t>
      </w:r>
      <w:r>
        <w:t xml:space="preserve"> jsou zveřejňovány statutárním městem Ostrava na úřední desce, webových stránkách </w:t>
      </w:r>
      <w:hyperlink r:id="rId9" w:history="1">
        <w:r w:rsidRPr="00F17AB9">
          <w:rPr>
            <w:rStyle w:val="Hypertextovodkaz"/>
          </w:rPr>
          <w:t>http://www.ostrava.cz/</w:t>
        </w:r>
      </w:hyperlink>
      <w:r>
        <w:t xml:space="preserve"> a v regionálním tisku.</w:t>
      </w:r>
    </w:p>
    <w:p w:rsidR="00BC5023" w:rsidRDefault="00BC5023" w:rsidP="00BC5023">
      <w:pPr>
        <w:pStyle w:val="Zsady-prosttext"/>
        <w:numPr>
          <w:ilvl w:val="0"/>
          <w:numId w:val="15"/>
        </w:numPr>
      </w:pPr>
      <w:r>
        <w:t xml:space="preserve">Výsledky výběrového řízení jsou zveřejňovány na webových stránkách statutárního města Ostravy </w:t>
      </w:r>
      <w:hyperlink r:id="rId10" w:history="1">
        <w:r w:rsidRPr="00F17AB9">
          <w:rPr>
            <w:rStyle w:val="Hypertextovodkaz"/>
          </w:rPr>
          <w:t>http://www.ostrava.cz/</w:t>
        </w:r>
      </w:hyperlink>
      <w:r>
        <w:t xml:space="preserve"> do 15 dnů od rozhodnutí orgánů města.</w:t>
      </w:r>
    </w:p>
    <w:p w:rsidR="004E5ECD" w:rsidRDefault="004E5ECD" w:rsidP="00BC5023">
      <w:pPr>
        <w:pStyle w:val="Zsady-prosttext"/>
        <w:rPr>
          <w:b/>
          <w:sz w:val="28"/>
        </w:rPr>
      </w:pPr>
    </w:p>
    <w:p w:rsidR="00BC5023" w:rsidRDefault="00BC5023" w:rsidP="00BC5023">
      <w:pPr>
        <w:pStyle w:val="Zsady-prosttext"/>
        <w:rPr>
          <w:b/>
          <w:sz w:val="28"/>
        </w:rPr>
      </w:pPr>
      <w:r w:rsidRPr="00BC5023">
        <w:rPr>
          <w:b/>
          <w:sz w:val="28"/>
        </w:rPr>
        <w:t>Kontaktní osoby v jednotlivých oblastech:</w:t>
      </w:r>
    </w:p>
    <w:tbl>
      <w:tblPr>
        <w:tblpPr w:leftFromText="141" w:rightFromText="141" w:vertAnchor="text" w:horzAnchor="margin" w:tblpX="40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868"/>
        <w:gridCol w:w="1440"/>
        <w:gridCol w:w="3132"/>
      </w:tblGrid>
      <w:tr w:rsidR="00BC5023" w:rsidTr="000D12AB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23" w:rsidRPr="00BC5023" w:rsidRDefault="000D12AB" w:rsidP="000D1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C5023" w:rsidRPr="00BC5023">
              <w:rPr>
                <w:rFonts w:ascii="Times New Roman" w:hAnsi="Times New Roman" w:cs="Times New Roman"/>
                <w:b/>
                <w:sz w:val="24"/>
                <w:szCs w:val="24"/>
              </w:rPr>
              <w:t>ód oblasti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23" w:rsidRPr="00BC5023" w:rsidRDefault="000D12AB" w:rsidP="000D1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C5023" w:rsidRPr="00BC5023">
              <w:rPr>
                <w:rFonts w:ascii="Times New Roman" w:hAnsi="Times New Roman" w:cs="Times New Roman"/>
                <w:b/>
                <w:sz w:val="24"/>
                <w:szCs w:val="24"/>
              </w:rPr>
              <w:t>ontaktní osoba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23" w:rsidRPr="00BC5023" w:rsidRDefault="00BC5023" w:rsidP="000D1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23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023" w:rsidRPr="00BC5023" w:rsidRDefault="00BC5023" w:rsidP="000D1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23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9F0620" w:rsidTr="000D12AB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ŠaS</w:t>
            </w:r>
            <w:proofErr w:type="spellEnd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/TV1,2</w:t>
            </w:r>
          </w:p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ŠaS</w:t>
            </w:r>
            <w:proofErr w:type="spellEnd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A0BD0" w:rsidRPr="00910168">
              <w:rPr>
                <w:rFonts w:ascii="Times New Roman" w:hAnsi="Times New Roman" w:cs="Times New Roman"/>
                <w:sz w:val="24"/>
                <w:szCs w:val="24"/>
              </w:rPr>
              <w:t>TV3</w:t>
            </w:r>
          </w:p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ŠaS</w:t>
            </w:r>
            <w:proofErr w:type="spellEnd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/TV</w:t>
            </w:r>
            <w:r w:rsidR="00EA0BD0" w:rsidRPr="00910168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Mgr. Jaromír Navrátil</w:t>
            </w:r>
          </w:p>
          <w:p w:rsidR="009F0620" w:rsidRPr="00910168" w:rsidRDefault="00FF6F04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Petr Wroblowský</w:t>
            </w:r>
          </w:p>
          <w:p w:rsidR="009F0620" w:rsidRPr="00910168" w:rsidRDefault="00EA0BD0" w:rsidP="009F062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Bc. Dagmar Kolarčíková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iCs/>
                <w:sz w:val="24"/>
                <w:szCs w:val="24"/>
              </w:rPr>
              <w:t>599 443 457</w:t>
            </w:r>
          </w:p>
          <w:p w:rsidR="009F0620" w:rsidRPr="00910168" w:rsidRDefault="00EA0BD0" w:rsidP="009F06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iCs/>
                <w:sz w:val="24"/>
                <w:szCs w:val="24"/>
              </w:rPr>
              <w:t>599 443 085</w:t>
            </w:r>
          </w:p>
          <w:p w:rsidR="009F0620" w:rsidRPr="00910168" w:rsidRDefault="00EA0BD0" w:rsidP="009F0620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iCs/>
                <w:sz w:val="24"/>
                <w:szCs w:val="24"/>
              </w:rPr>
              <w:t>599 442 191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FD1FE0" w:rsidP="009F0620">
            <w:pPr>
              <w:spacing w:after="0" w:line="240" w:lineRule="auto"/>
              <w:rPr>
                <w:rStyle w:val="Hypertextovodkaz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1" w:history="1">
              <w:r w:rsidR="009F0620" w:rsidRPr="0091016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jnavratil@ostrava.cz</w:t>
              </w:r>
            </w:hyperlink>
          </w:p>
          <w:p w:rsidR="009F0620" w:rsidRPr="00910168" w:rsidRDefault="00FD1FE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A0BD0" w:rsidRPr="0091016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pwroblowsky@ostrava.cz</w:t>
              </w:r>
            </w:hyperlink>
          </w:p>
          <w:p w:rsidR="009F0620" w:rsidRPr="00910168" w:rsidRDefault="00FD1FE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EA0BD0" w:rsidRPr="0091016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dkolarcikova</w:t>
              </w:r>
              <w:proofErr w:type="spellEnd"/>
              <w:r w:rsidR="009F0620" w:rsidRPr="0091016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9F0620" w:rsidRPr="00910168">
                <w:rPr>
                  <w:rStyle w:val="Hypertextovodkaz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</w:rPr>
                <w:t xml:space="preserve"> ostrava.cz</w:t>
              </w:r>
            </w:hyperlink>
          </w:p>
        </w:tc>
      </w:tr>
      <w:tr w:rsidR="009F0620" w:rsidTr="000D12AB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ŠaS</w:t>
            </w:r>
            <w:proofErr w:type="spellEnd"/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/VS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FF6F04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Petr Wroblowský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iCs/>
                <w:sz w:val="24"/>
                <w:szCs w:val="24"/>
              </w:rPr>
              <w:t>599 443 085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0" w:rsidRPr="00910168" w:rsidRDefault="009F0620" w:rsidP="009F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168">
              <w:rPr>
                <w:rFonts w:ascii="Times New Roman" w:hAnsi="Times New Roman" w:cs="Times New Roman"/>
                <w:sz w:val="24"/>
                <w:szCs w:val="24"/>
              </w:rPr>
              <w:t>pwroblowsky@ostrava.cz</w:t>
            </w:r>
          </w:p>
        </w:tc>
      </w:tr>
    </w:tbl>
    <w:p w:rsidR="00D61FA2" w:rsidRDefault="00D61FA2" w:rsidP="00BC5023">
      <w:pPr>
        <w:pStyle w:val="Zsady-prosttext"/>
      </w:pPr>
    </w:p>
    <w:p w:rsidR="00F95931" w:rsidRDefault="00F95931" w:rsidP="00BC5023">
      <w:pPr>
        <w:pStyle w:val="Zsady-prosttext"/>
      </w:pPr>
    </w:p>
    <w:p w:rsidR="00F95931" w:rsidRDefault="00F95931" w:rsidP="00BC5023">
      <w:pPr>
        <w:pStyle w:val="Zsady-prosttext"/>
      </w:pPr>
    </w:p>
    <w:p w:rsidR="00F95931" w:rsidRDefault="00F95931" w:rsidP="00BC5023">
      <w:pPr>
        <w:pStyle w:val="Zsady-prosttext"/>
      </w:pPr>
    </w:p>
    <w:p w:rsidR="00F95931" w:rsidRDefault="00F95931" w:rsidP="00BC5023">
      <w:pPr>
        <w:pStyle w:val="Zsady-prosttext"/>
      </w:pPr>
    </w:p>
    <w:p w:rsidR="00F95931" w:rsidRDefault="00F95931" w:rsidP="00BC5023">
      <w:pPr>
        <w:pStyle w:val="Zsady-prosttext"/>
      </w:pPr>
    </w:p>
    <w:p w:rsidR="00F95931" w:rsidRDefault="00F95931" w:rsidP="00BC5023">
      <w:pPr>
        <w:pStyle w:val="Zsady-prosttext"/>
      </w:pPr>
    </w:p>
    <w:p w:rsidR="00F95931" w:rsidRDefault="00F95931" w:rsidP="00BC5023">
      <w:pPr>
        <w:pStyle w:val="Zsady-prosttext"/>
      </w:pPr>
    </w:p>
    <w:p w:rsidR="00F95931" w:rsidRPr="00F95931" w:rsidRDefault="00F95931" w:rsidP="00F9593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9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   </w:t>
      </w:r>
      <w:proofErr w:type="gramStart"/>
      <w:r w:rsidRPr="00F95931">
        <w:rPr>
          <w:rFonts w:ascii="Times New Roman" w:hAnsi="Times New Roman" w:cs="Times New Roman"/>
          <w:b/>
          <w:sz w:val="28"/>
          <w:szCs w:val="28"/>
        </w:rPr>
        <w:t>S P E C I Á L N Í  Č Á S T</w:t>
      </w:r>
      <w:proofErr w:type="gramEnd"/>
    </w:p>
    <w:p w:rsidR="00F95931" w:rsidRPr="00F95931" w:rsidRDefault="00F95931" w:rsidP="00F95931">
      <w:pPr>
        <w:pStyle w:val="Nzev"/>
        <w:ind w:left="360"/>
        <w:rPr>
          <w:bCs/>
        </w:rPr>
      </w:pPr>
      <w:r w:rsidRPr="00F95931">
        <w:rPr>
          <w:bCs/>
        </w:rPr>
        <w:t>pro oblast tělovýchova a sport (</w:t>
      </w:r>
      <w:r w:rsidRPr="00F95931">
        <w:rPr>
          <w:b w:val="0"/>
          <w:szCs w:val="28"/>
        </w:rPr>
        <w:t xml:space="preserve">kód </w:t>
      </w:r>
      <w:proofErr w:type="spellStart"/>
      <w:r w:rsidRPr="00F95931">
        <w:rPr>
          <w:b w:val="0"/>
          <w:szCs w:val="28"/>
        </w:rPr>
        <w:t>ŠaS</w:t>
      </w:r>
      <w:proofErr w:type="spellEnd"/>
      <w:r w:rsidRPr="00F95931">
        <w:rPr>
          <w:b w:val="0"/>
          <w:szCs w:val="28"/>
        </w:rPr>
        <w:t>/TV</w:t>
      </w:r>
      <w:r w:rsidRPr="00F95931">
        <w:rPr>
          <w:szCs w:val="28"/>
        </w:rPr>
        <w:t>)</w:t>
      </w:r>
    </w:p>
    <w:p w:rsidR="00F95931" w:rsidRDefault="00F95931" w:rsidP="00F95931">
      <w:pPr>
        <w:pStyle w:val="Nzev"/>
        <w:ind w:left="720" w:hanging="360"/>
        <w:rPr>
          <w:bCs/>
        </w:rPr>
      </w:pPr>
    </w:p>
    <w:p w:rsid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I. Účel poskytnutí finančních prostředků</w:t>
      </w:r>
      <w:r>
        <w:rPr>
          <w:b/>
          <w:sz w:val="28"/>
          <w:szCs w:val="28"/>
        </w:rPr>
        <w:tab/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 w:after="120"/>
        <w:ind w:right="0"/>
        <w:rPr>
          <w:sz w:val="24"/>
        </w:rPr>
      </w:pPr>
      <w:r w:rsidRPr="00F95931">
        <w:rPr>
          <w:sz w:val="24"/>
        </w:rPr>
        <w:t>Program na poskytování peněžních prostředků z rozpočtu statutárního města Ostravy na rok 2017 v oblasti tělovýchovy a sportu je vyhlašován za účelem zajištění celoročního provozu sportovních klubů, jednotlivců či významných akcí, zvyšování jejich úrovně a kvality, dále na udržování a rozšiřování sportovní infrastruktury, na popularizaci sportu mezi občany města Ostravy a na podporu handicapovaných sportovců.</w:t>
      </w:r>
    </w:p>
    <w:p w:rsidR="00F95931" w:rsidRPr="00F95931" w:rsidRDefault="00F95931" w:rsidP="00F95931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F95931">
        <w:rPr>
          <w:rFonts w:ascii="Times New Roman" w:hAnsi="Times New Roman" w:cs="Times New Roman"/>
          <w:b/>
          <w:sz w:val="24"/>
          <w:szCs w:val="24"/>
        </w:rPr>
        <w:t>Témata podpory</w:t>
      </w:r>
    </w:p>
    <w:p w:rsidR="00F95931" w:rsidRPr="00F95931" w:rsidRDefault="00F95931" w:rsidP="00F95931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31">
        <w:rPr>
          <w:rFonts w:ascii="Times New Roman" w:hAnsi="Times New Roman" w:cs="Times New Roman"/>
          <w:b/>
          <w:sz w:val="24"/>
          <w:szCs w:val="24"/>
        </w:rPr>
        <w:t>Kapitační platby</w:t>
      </w:r>
      <w:r w:rsidRPr="00F95931">
        <w:rPr>
          <w:rFonts w:ascii="Times New Roman" w:hAnsi="Times New Roman" w:cs="Times New Roman"/>
          <w:sz w:val="24"/>
          <w:szCs w:val="24"/>
        </w:rPr>
        <w:t xml:space="preserve"> (poskytnutí dotace na základě evidované členské základny).</w:t>
      </w:r>
    </w:p>
    <w:p w:rsidR="00F95931" w:rsidRPr="00F95931" w:rsidRDefault="00F95931" w:rsidP="00F95931">
      <w:pPr>
        <w:numPr>
          <w:ilvl w:val="1"/>
          <w:numId w:val="2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931">
        <w:rPr>
          <w:rFonts w:ascii="Times New Roman" w:hAnsi="Times New Roman" w:cs="Times New Roman"/>
          <w:sz w:val="24"/>
          <w:szCs w:val="24"/>
        </w:rPr>
        <w:t xml:space="preserve">Organizovaní sportovci </w:t>
      </w:r>
      <w:r w:rsidRPr="00F95931">
        <w:rPr>
          <w:rFonts w:ascii="Times New Roman" w:hAnsi="Times New Roman" w:cs="Times New Roman"/>
          <w:b/>
          <w:sz w:val="24"/>
          <w:szCs w:val="24"/>
        </w:rPr>
        <w:t>registrovaní</w:t>
      </w:r>
      <w:r w:rsidRPr="00F95931">
        <w:rPr>
          <w:rFonts w:ascii="Times New Roman" w:hAnsi="Times New Roman" w:cs="Times New Roman"/>
          <w:sz w:val="24"/>
          <w:szCs w:val="24"/>
        </w:rPr>
        <w:t xml:space="preserve"> ve sportovních svazech a spolcích (OTU, Sokol, Orel) -</w:t>
      </w:r>
      <w:r w:rsidRPr="00F95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931">
        <w:rPr>
          <w:rFonts w:ascii="Times New Roman" w:hAnsi="Times New Roman" w:cs="Times New Roman"/>
          <w:sz w:val="24"/>
          <w:szCs w:val="24"/>
        </w:rPr>
        <w:t>celoroční činnost subjektů zabývajících se sportovními a tělovýchovnými aktivitami, které slouží k přímému zapojení dětí a mládeže do</w:t>
      </w:r>
      <w:r w:rsidRPr="00F95931">
        <w:rPr>
          <w:rFonts w:ascii="Times New Roman" w:hAnsi="Times New Roman" w:cs="Times New Roman"/>
          <w:b/>
          <w:sz w:val="24"/>
          <w:szCs w:val="24"/>
        </w:rPr>
        <w:t xml:space="preserve"> pravidelné činnosti</w:t>
      </w:r>
      <w:r w:rsidRPr="00F95931">
        <w:rPr>
          <w:rFonts w:ascii="Times New Roman" w:hAnsi="Times New Roman" w:cs="Times New Roman"/>
          <w:sz w:val="24"/>
          <w:szCs w:val="24"/>
        </w:rPr>
        <w:t xml:space="preserve"> v jejich volném čase. V případě, že se ve sportovním subjektu vyskytují také neregistrovaní sportovci, </w:t>
      </w:r>
      <w:r w:rsidRPr="00F95931">
        <w:rPr>
          <w:rFonts w:ascii="Times New Roman" w:hAnsi="Times New Roman" w:cs="Times New Roman"/>
          <w:b/>
          <w:sz w:val="24"/>
          <w:szCs w:val="24"/>
        </w:rPr>
        <w:t xml:space="preserve">odliší žadatel tyto osoby evidentním způsobem </w:t>
      </w:r>
      <w:r w:rsidRPr="00F95931">
        <w:rPr>
          <w:rFonts w:ascii="Times New Roman" w:hAnsi="Times New Roman" w:cs="Times New Roman"/>
          <w:sz w:val="24"/>
          <w:szCs w:val="24"/>
        </w:rPr>
        <w:t xml:space="preserve">na předkládaném soupisu členů, který je povinnou přílohou tohoto tématu. </w:t>
      </w:r>
      <w:r w:rsidRPr="00F95931">
        <w:rPr>
          <w:rFonts w:ascii="Times New Roman" w:hAnsi="Times New Roman" w:cs="Times New Roman"/>
          <w:b/>
          <w:sz w:val="24"/>
          <w:szCs w:val="24"/>
        </w:rPr>
        <w:t>Za registrovaného je považován aktivní sportovec/hráč, který platí členské příspěvky a účastní se v daném roce pravidelně soutěží.</w:t>
      </w:r>
    </w:p>
    <w:p w:rsidR="00F95931" w:rsidRPr="00F95931" w:rsidRDefault="00F95931" w:rsidP="00F95931">
      <w:pPr>
        <w:pStyle w:val="Odstavecseseznamem"/>
        <w:numPr>
          <w:ilvl w:val="1"/>
          <w:numId w:val="25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95931">
        <w:rPr>
          <w:rFonts w:ascii="Times New Roman" w:hAnsi="Times New Roman" w:cs="Times New Roman"/>
          <w:sz w:val="24"/>
          <w:szCs w:val="24"/>
        </w:rPr>
        <w:t xml:space="preserve">Organizovaní sportovci </w:t>
      </w:r>
      <w:r w:rsidRPr="00F95931">
        <w:rPr>
          <w:rFonts w:ascii="Times New Roman" w:hAnsi="Times New Roman" w:cs="Times New Roman"/>
          <w:b/>
          <w:sz w:val="24"/>
          <w:szCs w:val="24"/>
        </w:rPr>
        <w:t>neregistrovaní</w:t>
      </w:r>
      <w:r w:rsidRPr="00F95931">
        <w:rPr>
          <w:rFonts w:ascii="Times New Roman" w:hAnsi="Times New Roman" w:cs="Times New Roman"/>
          <w:sz w:val="24"/>
          <w:szCs w:val="24"/>
        </w:rPr>
        <w:t xml:space="preserve"> ve sportovních svazech a spolcích - celoroční činnost subjektů zabývajících se sportovními a tělovýchovnými aktivitami, které slouží k přímému zapojení dětí a mládeže do</w:t>
      </w:r>
      <w:r w:rsidRPr="00F95931">
        <w:rPr>
          <w:rFonts w:ascii="Times New Roman" w:hAnsi="Times New Roman" w:cs="Times New Roman"/>
          <w:b/>
          <w:sz w:val="24"/>
          <w:szCs w:val="24"/>
        </w:rPr>
        <w:t xml:space="preserve"> pravidelné činnosti</w:t>
      </w:r>
      <w:r w:rsidRPr="00F95931">
        <w:rPr>
          <w:rFonts w:ascii="Times New Roman" w:hAnsi="Times New Roman" w:cs="Times New Roman"/>
          <w:sz w:val="24"/>
          <w:szCs w:val="24"/>
        </w:rPr>
        <w:t xml:space="preserve"> v jejich volném čase.</w:t>
      </w:r>
    </w:p>
    <w:p w:rsidR="00F95931" w:rsidRPr="00F95931" w:rsidRDefault="00F95931" w:rsidP="00F95931">
      <w:pPr>
        <w:pStyle w:val="Zkladntext"/>
        <w:ind w:left="709" w:right="-108"/>
        <w:rPr>
          <w:b/>
          <w:sz w:val="24"/>
        </w:rPr>
      </w:pPr>
      <w:r w:rsidRPr="00F95931">
        <w:rPr>
          <w:b/>
          <w:sz w:val="24"/>
        </w:rPr>
        <w:t>Povinné přílohy pro témata 1.1 a 1.2:</w:t>
      </w:r>
    </w:p>
    <w:p w:rsidR="00F95931" w:rsidRPr="00F95931" w:rsidRDefault="00F95931" w:rsidP="00F95931">
      <w:pPr>
        <w:pStyle w:val="Zkladntext"/>
        <w:numPr>
          <w:ilvl w:val="0"/>
          <w:numId w:val="26"/>
        </w:numPr>
        <w:tabs>
          <w:tab w:val="clear" w:pos="2304"/>
          <w:tab w:val="clear" w:pos="3456"/>
          <w:tab w:val="clear" w:pos="4608"/>
          <w:tab w:val="clear" w:pos="5760"/>
          <w:tab w:val="clear" w:pos="6912"/>
          <w:tab w:val="clear" w:pos="8064"/>
        </w:tabs>
        <w:snapToGrid w:val="0"/>
        <w:spacing w:before="0"/>
        <w:ind w:left="1134" w:right="-108"/>
        <w:rPr>
          <w:sz w:val="24"/>
        </w:rPr>
      </w:pPr>
      <w:r w:rsidRPr="00F95931">
        <w:rPr>
          <w:b/>
          <w:sz w:val="24"/>
          <w:u w:val="single"/>
        </w:rPr>
        <w:t>očíslovaný</w:t>
      </w:r>
      <w:r w:rsidRPr="00F95931">
        <w:rPr>
          <w:sz w:val="24"/>
        </w:rPr>
        <w:t xml:space="preserve"> soupis členů ve věku </w:t>
      </w:r>
      <w:r w:rsidRPr="00F95931">
        <w:rPr>
          <w:b/>
          <w:sz w:val="24"/>
        </w:rPr>
        <w:t xml:space="preserve">od 4 do 21 let </w:t>
      </w:r>
      <w:r w:rsidRPr="00F95931">
        <w:rPr>
          <w:sz w:val="24"/>
        </w:rPr>
        <w:t xml:space="preserve">k </w:t>
      </w:r>
      <w:r w:rsidRPr="00F95931">
        <w:rPr>
          <w:b/>
          <w:sz w:val="24"/>
        </w:rPr>
        <w:t xml:space="preserve">30. 9. 2016 </w:t>
      </w:r>
      <w:r w:rsidRPr="00F95931">
        <w:rPr>
          <w:sz w:val="24"/>
        </w:rPr>
        <w:t xml:space="preserve">v </w:t>
      </w:r>
      <w:r w:rsidRPr="00F95931">
        <w:rPr>
          <w:b/>
          <w:sz w:val="24"/>
        </w:rPr>
        <w:t>abecedním</w:t>
      </w:r>
      <w:r w:rsidRPr="00F95931">
        <w:rPr>
          <w:sz w:val="24"/>
        </w:rPr>
        <w:t xml:space="preserve"> řazení. Soupis bude obsahovat: jméno, příjmení a </w:t>
      </w:r>
      <w:r w:rsidRPr="00F95931">
        <w:rPr>
          <w:b/>
          <w:sz w:val="24"/>
        </w:rPr>
        <w:t xml:space="preserve">celé datum narození </w:t>
      </w:r>
      <w:r w:rsidRPr="00F95931">
        <w:rPr>
          <w:sz w:val="24"/>
        </w:rPr>
        <w:t xml:space="preserve">člena (v pořadí: den/měsíc/rok), který se </w:t>
      </w:r>
      <w:r w:rsidRPr="00F95931">
        <w:rPr>
          <w:b/>
          <w:sz w:val="24"/>
        </w:rPr>
        <w:t>celoročně</w:t>
      </w:r>
      <w:r w:rsidRPr="00F95931">
        <w:rPr>
          <w:sz w:val="24"/>
        </w:rPr>
        <w:t xml:space="preserve"> zúčastňuje pravidelných sportovních aktivit,</w:t>
      </w:r>
    </w:p>
    <w:p w:rsidR="00F95931" w:rsidRPr="00F95931" w:rsidRDefault="00F95931" w:rsidP="00F95931">
      <w:pPr>
        <w:pStyle w:val="Zkladntext"/>
        <w:numPr>
          <w:ilvl w:val="0"/>
          <w:numId w:val="26"/>
        </w:numPr>
        <w:tabs>
          <w:tab w:val="clear" w:pos="2304"/>
          <w:tab w:val="clear" w:pos="3456"/>
          <w:tab w:val="clear" w:pos="4608"/>
          <w:tab w:val="clear" w:pos="5760"/>
          <w:tab w:val="clear" w:pos="6912"/>
          <w:tab w:val="clear" w:pos="8064"/>
        </w:tabs>
        <w:snapToGrid w:val="0"/>
        <w:spacing w:before="0"/>
        <w:ind w:left="1134" w:right="-108"/>
        <w:rPr>
          <w:sz w:val="24"/>
        </w:rPr>
      </w:pPr>
      <w:r w:rsidRPr="00F95931">
        <w:rPr>
          <w:sz w:val="24"/>
        </w:rPr>
        <w:t>čestné prohlášení prokazující, že členové uvedení na soupisu k 30. 9. 2016 řádně zaplatili členské příspěvky (formulář je k dispozici na webových stránkách města),</w:t>
      </w:r>
    </w:p>
    <w:p w:rsidR="00F95931" w:rsidRPr="00F95931" w:rsidRDefault="00F95931" w:rsidP="00F95931">
      <w:pPr>
        <w:pStyle w:val="Zkladntext"/>
        <w:numPr>
          <w:ilvl w:val="0"/>
          <w:numId w:val="26"/>
        </w:numPr>
        <w:tabs>
          <w:tab w:val="clear" w:pos="2304"/>
          <w:tab w:val="clear" w:pos="3456"/>
          <w:tab w:val="clear" w:pos="4608"/>
          <w:tab w:val="clear" w:pos="5760"/>
          <w:tab w:val="clear" w:pos="6912"/>
          <w:tab w:val="clear" w:pos="8064"/>
        </w:tabs>
        <w:snapToGrid w:val="0"/>
        <w:spacing w:before="0"/>
        <w:ind w:left="1134" w:right="-108"/>
        <w:rPr>
          <w:sz w:val="24"/>
        </w:rPr>
      </w:pPr>
      <w:r w:rsidRPr="00F95931">
        <w:rPr>
          <w:sz w:val="24"/>
        </w:rPr>
        <w:t>rozpis tréninkových jednotek dětí a mládeže od 4 – 21 let na sezónu 2016-2017 (uveďte místo, hodinu a předpokládaný počet osob); výše uvedené údaje mohou být předmětem kontroly na místě!</w:t>
      </w:r>
    </w:p>
    <w:p w:rsidR="00F95931" w:rsidRPr="00F95931" w:rsidRDefault="00F95931" w:rsidP="00F95931">
      <w:pPr>
        <w:pStyle w:val="Zkladntext"/>
        <w:ind w:left="709" w:right="-108"/>
        <w:rPr>
          <w:sz w:val="24"/>
        </w:rPr>
      </w:pPr>
      <w:r w:rsidRPr="00F95931">
        <w:rPr>
          <w:sz w:val="24"/>
        </w:rPr>
        <w:t>V rámci jednoho subjektu (IČO) je možné člena evidovaného ve více „pododdílech“ daného subjektu vykazovat pouze jedenkrát. V případě hostování může hráče vykázat pouze mateřský oddíl. Předložené soupisy členů budou kontrolovány!</w:t>
      </w:r>
    </w:p>
    <w:p w:rsidR="00F95931" w:rsidRPr="00F95931" w:rsidRDefault="00F95931" w:rsidP="00F95931">
      <w:pPr>
        <w:pStyle w:val="Zkladntext"/>
        <w:numPr>
          <w:ilvl w:val="0"/>
          <w:numId w:val="23"/>
        </w:numPr>
        <w:snapToGrid w:val="0"/>
        <w:ind w:right="-108"/>
        <w:rPr>
          <w:sz w:val="24"/>
        </w:rPr>
      </w:pPr>
      <w:r w:rsidRPr="00F95931">
        <w:rPr>
          <w:sz w:val="24"/>
        </w:rPr>
        <w:t xml:space="preserve">Ostatní systematická sportovní a tělovýchovná celoroční činnost </w:t>
      </w:r>
      <w:r w:rsidRPr="00F95931">
        <w:rPr>
          <w:b/>
          <w:sz w:val="24"/>
        </w:rPr>
        <w:t xml:space="preserve">- </w:t>
      </w:r>
      <w:r w:rsidRPr="00F95931">
        <w:rPr>
          <w:sz w:val="24"/>
        </w:rPr>
        <w:t>nikoliv nahodilé aktivity</w:t>
      </w:r>
      <w:r w:rsidRPr="00F95931">
        <w:rPr>
          <w:b/>
          <w:sz w:val="24"/>
        </w:rPr>
        <w:t xml:space="preserve"> -</w:t>
      </w:r>
      <w:r w:rsidRPr="00F95931">
        <w:rPr>
          <w:sz w:val="24"/>
        </w:rPr>
        <w:t xml:space="preserve"> sportovních subjektů, jejichž cílem je vytvoření podmínek pro sportovní činnost dětí a mládeže.</w:t>
      </w:r>
    </w:p>
    <w:p w:rsidR="00F95931" w:rsidRPr="00F95931" w:rsidRDefault="00F95931" w:rsidP="00F95931">
      <w:pPr>
        <w:pStyle w:val="Zkladntext"/>
        <w:ind w:left="720" w:right="-108"/>
        <w:rPr>
          <w:b/>
          <w:sz w:val="24"/>
        </w:rPr>
      </w:pPr>
      <w:r w:rsidRPr="00F95931">
        <w:rPr>
          <w:b/>
          <w:sz w:val="24"/>
        </w:rPr>
        <w:t>Povinné přílohy pro téma 2:</w:t>
      </w:r>
    </w:p>
    <w:p w:rsidR="00F95931" w:rsidRPr="00F95931" w:rsidRDefault="00F95931" w:rsidP="00F95931">
      <w:pPr>
        <w:pStyle w:val="Zkladntext"/>
        <w:numPr>
          <w:ilvl w:val="0"/>
          <w:numId w:val="27"/>
        </w:numPr>
        <w:snapToGrid w:val="0"/>
        <w:spacing w:before="0"/>
        <w:ind w:left="1134" w:right="-108" w:hanging="357"/>
        <w:rPr>
          <w:sz w:val="24"/>
        </w:rPr>
      </w:pPr>
      <w:r w:rsidRPr="00F95931">
        <w:rPr>
          <w:sz w:val="24"/>
        </w:rPr>
        <w:t>rozpis tréninkových jednotek dětí a mládeže (uveďte místo, hodinu a předpokládaný počet osob); výše uvedené údaje mohou být předmětem kontroly na místě!</w:t>
      </w:r>
    </w:p>
    <w:p w:rsidR="00F95931" w:rsidRPr="00F95931" w:rsidRDefault="00F95931" w:rsidP="00F95931">
      <w:pPr>
        <w:pStyle w:val="Zkladntext"/>
        <w:ind w:left="709" w:right="-108" w:hanging="357"/>
        <w:rPr>
          <w:sz w:val="24"/>
        </w:rPr>
      </w:pPr>
      <w:r w:rsidRPr="00F95931">
        <w:rPr>
          <w:b/>
          <w:sz w:val="24"/>
        </w:rPr>
        <w:t>3.</w:t>
      </w:r>
      <w:r w:rsidRPr="00F95931">
        <w:rPr>
          <w:b/>
          <w:sz w:val="24"/>
        </w:rPr>
        <w:tab/>
      </w:r>
      <w:r w:rsidRPr="00F95931">
        <w:rPr>
          <w:sz w:val="24"/>
        </w:rPr>
        <w:t xml:space="preserve">Činnost sportovních subjektů, které se systematicky zabývají výchovou talentované sportovní mládeže, které svou činností dosahují vynikajících výsledků a současně jsou </w:t>
      </w:r>
      <w:r w:rsidRPr="00F95931">
        <w:rPr>
          <w:b/>
          <w:sz w:val="24"/>
        </w:rPr>
        <w:lastRenderedPageBreak/>
        <w:t>sportovními centry mládeže s akreditací MŠMT</w:t>
      </w:r>
      <w:r w:rsidRPr="00F95931">
        <w:rPr>
          <w:sz w:val="24"/>
        </w:rPr>
        <w:t xml:space="preserve"> nebo </w:t>
      </w:r>
      <w:r w:rsidRPr="00F95931">
        <w:rPr>
          <w:b/>
          <w:sz w:val="24"/>
        </w:rPr>
        <w:t>sportovními základnami ČOS</w:t>
      </w:r>
      <w:r w:rsidRPr="00F95931">
        <w:rPr>
          <w:sz w:val="24"/>
        </w:rPr>
        <w:t>, v rámci své činnosti smluvně spolupracují se sportovními subjekty dlouhodobě dosahujícími vynikajících výsledků v nejvyšších sportovních soutěžích v České republice a výrazně reprezentujících statutární město Ostrava.</w:t>
      </w:r>
    </w:p>
    <w:p w:rsidR="00F95931" w:rsidRPr="00F95931" w:rsidRDefault="00F95931" w:rsidP="00F95931">
      <w:pPr>
        <w:pStyle w:val="Zkladntext"/>
        <w:ind w:left="709" w:right="-108" w:hanging="539"/>
        <w:rPr>
          <w:b/>
          <w:sz w:val="24"/>
        </w:rPr>
      </w:pPr>
      <w:r w:rsidRPr="00F95931">
        <w:rPr>
          <w:b/>
          <w:sz w:val="24"/>
        </w:rPr>
        <w:tab/>
        <w:t>Povinné přílohy pro téma 3:</w:t>
      </w:r>
    </w:p>
    <w:p w:rsidR="00F95931" w:rsidRPr="00F95931" w:rsidRDefault="00F95931" w:rsidP="00F95931">
      <w:pPr>
        <w:pStyle w:val="Zkladntext"/>
        <w:numPr>
          <w:ilvl w:val="0"/>
          <w:numId w:val="28"/>
        </w:numPr>
        <w:tabs>
          <w:tab w:val="clear" w:pos="2304"/>
          <w:tab w:val="clear" w:pos="3456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kopie dokladu sportovního subjektu prokazující, že je sportovním centrem mládeže s akreditací MŠMT nebo sportovní základnou ČOS.</w:t>
      </w:r>
    </w:p>
    <w:p w:rsidR="00F95931" w:rsidRPr="00F95931" w:rsidRDefault="00F95931" w:rsidP="00F95931">
      <w:pPr>
        <w:pStyle w:val="Zkladntext"/>
        <w:ind w:left="709" w:right="-130" w:hanging="357"/>
        <w:rPr>
          <w:sz w:val="24"/>
        </w:rPr>
      </w:pPr>
      <w:r w:rsidRPr="00F95931">
        <w:rPr>
          <w:b/>
          <w:sz w:val="24"/>
        </w:rPr>
        <w:t>4.</w:t>
      </w:r>
      <w:r w:rsidRPr="00F95931">
        <w:rPr>
          <w:b/>
          <w:sz w:val="24"/>
        </w:rPr>
        <w:tab/>
      </w:r>
      <w:r w:rsidRPr="00F95931">
        <w:rPr>
          <w:sz w:val="24"/>
        </w:rPr>
        <w:t>Významné sportovní akce, reprezentující statutární město Ostravu.</w:t>
      </w:r>
    </w:p>
    <w:p w:rsidR="00F95931" w:rsidRPr="00F95931" w:rsidRDefault="00F95931" w:rsidP="00F95931">
      <w:pPr>
        <w:pStyle w:val="Zkladntext"/>
        <w:spacing w:before="0"/>
        <w:ind w:left="709" w:right="-108"/>
        <w:rPr>
          <w:sz w:val="24"/>
        </w:rPr>
      </w:pPr>
      <w:r w:rsidRPr="00F95931">
        <w:rPr>
          <w:b/>
          <w:sz w:val="24"/>
        </w:rPr>
        <w:t>Minimální</w:t>
      </w:r>
      <w:r w:rsidRPr="00F95931">
        <w:rPr>
          <w:sz w:val="24"/>
        </w:rPr>
        <w:t xml:space="preserve"> </w:t>
      </w:r>
      <w:r w:rsidRPr="00F95931">
        <w:rPr>
          <w:b/>
          <w:sz w:val="24"/>
        </w:rPr>
        <w:t>spoluúčast</w:t>
      </w:r>
      <w:r w:rsidRPr="00F95931">
        <w:rPr>
          <w:sz w:val="24"/>
        </w:rPr>
        <w:t xml:space="preserve"> žadatele na financování realizace významné sportovní akce je 50% nákladů na realizaci. V případě poskytnutí dotace je žadatel povinen prokázat svou spoluúčast specifikací dalších nákladů (viz formulář na webových stránkách města).</w:t>
      </w:r>
    </w:p>
    <w:p w:rsidR="00F95931" w:rsidRPr="00F95931" w:rsidRDefault="00F95931" w:rsidP="00F95931">
      <w:pPr>
        <w:pStyle w:val="Zkladntext"/>
        <w:ind w:left="709" w:right="-108" w:hanging="425"/>
        <w:rPr>
          <w:sz w:val="24"/>
        </w:rPr>
      </w:pPr>
      <w:r w:rsidRPr="00F95931">
        <w:rPr>
          <w:b/>
          <w:sz w:val="24"/>
        </w:rPr>
        <w:t xml:space="preserve"> 5.</w:t>
      </w:r>
      <w:r w:rsidRPr="00F95931">
        <w:rPr>
          <w:b/>
          <w:sz w:val="24"/>
        </w:rPr>
        <w:tab/>
      </w:r>
      <w:r w:rsidRPr="00F95931">
        <w:rPr>
          <w:sz w:val="24"/>
        </w:rPr>
        <w:t xml:space="preserve">Podpora </w:t>
      </w:r>
      <w:r w:rsidRPr="00F95931">
        <w:rPr>
          <w:b/>
          <w:sz w:val="24"/>
        </w:rPr>
        <w:t>sportovních aktivit handicapovaných</w:t>
      </w:r>
      <w:r w:rsidRPr="00F95931">
        <w:rPr>
          <w:sz w:val="24"/>
        </w:rPr>
        <w:t xml:space="preserve"> za podmínky, že hlavní náplní činnosti žadatele je sport a tělovýchova. O podporu handicapovaných sportovců je možno zažádat pouze v rámci tohoto tématu!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/>
        <w:ind w:right="0"/>
        <w:rPr>
          <w:sz w:val="24"/>
        </w:rPr>
      </w:pPr>
    </w:p>
    <w:p w:rsidR="00F95931" w:rsidRP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8"/>
          <w:szCs w:val="28"/>
        </w:rPr>
      </w:pPr>
      <w:r w:rsidRPr="00F95931">
        <w:rPr>
          <w:b/>
          <w:sz w:val="28"/>
          <w:szCs w:val="28"/>
        </w:rPr>
        <w:t>II. Finanční rámec oblasti</w:t>
      </w:r>
    </w:p>
    <w:p w:rsidR="00F95931" w:rsidRPr="00F95931" w:rsidRDefault="00F95931" w:rsidP="00F95931">
      <w:pPr>
        <w:pStyle w:val="Zkladntext"/>
        <w:widowControl/>
        <w:numPr>
          <w:ilvl w:val="0"/>
          <w:numId w:val="29"/>
        </w:numPr>
        <w:tabs>
          <w:tab w:val="left" w:pos="708"/>
        </w:tabs>
        <w:snapToGrid w:val="0"/>
        <w:spacing w:before="0" w:after="120"/>
        <w:ind w:left="709" w:right="0"/>
        <w:rPr>
          <w:sz w:val="24"/>
        </w:rPr>
      </w:pPr>
      <w:r w:rsidRPr="00F95931">
        <w:rPr>
          <w:sz w:val="24"/>
        </w:rPr>
        <w:t>Celkový předpokládaný objem finančních prostředků vyčleněných z rozpočtu statutárního města Ostravy pro dotační oblast činí 30 mil. Kč.</w:t>
      </w:r>
    </w:p>
    <w:p w:rsidR="00F95931" w:rsidRPr="00F95931" w:rsidRDefault="00F95931" w:rsidP="00F95931">
      <w:pPr>
        <w:pStyle w:val="Zkladntext"/>
        <w:widowControl/>
        <w:numPr>
          <w:ilvl w:val="0"/>
          <w:numId w:val="29"/>
        </w:numPr>
        <w:tabs>
          <w:tab w:val="left" w:pos="708"/>
        </w:tabs>
        <w:snapToGrid w:val="0"/>
        <w:spacing w:before="0" w:after="120"/>
        <w:ind w:left="709" w:right="0"/>
        <w:rPr>
          <w:sz w:val="24"/>
        </w:rPr>
      </w:pPr>
      <w:r w:rsidRPr="00F95931">
        <w:rPr>
          <w:sz w:val="24"/>
        </w:rPr>
        <w:t xml:space="preserve">Maximální výše dotace poskytnuté na jeden projekt je 2 mil. Kč.  </w:t>
      </w:r>
    </w:p>
    <w:p w:rsidR="00F95931" w:rsidRPr="00F95931" w:rsidRDefault="00F95931" w:rsidP="00F95931">
      <w:pPr>
        <w:pStyle w:val="Zkladntext"/>
        <w:widowControl/>
        <w:numPr>
          <w:ilvl w:val="0"/>
          <w:numId w:val="29"/>
        </w:numPr>
        <w:tabs>
          <w:tab w:val="left" w:pos="708"/>
        </w:tabs>
        <w:snapToGrid w:val="0"/>
        <w:spacing w:before="0"/>
        <w:ind w:left="709" w:right="0" w:hanging="357"/>
        <w:rPr>
          <w:sz w:val="24"/>
        </w:rPr>
      </w:pPr>
      <w:r w:rsidRPr="00F95931">
        <w:rPr>
          <w:sz w:val="24"/>
        </w:rPr>
        <w:t xml:space="preserve">Dotační oblast je určena pro projekty </w:t>
      </w:r>
      <w:r w:rsidRPr="00F95931">
        <w:rPr>
          <w:b/>
          <w:sz w:val="24"/>
        </w:rPr>
        <w:t>s minimální požadovanou částkou 50.000,- Kč.</w:t>
      </w:r>
    </w:p>
    <w:p w:rsidR="00F95931" w:rsidRP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/>
        <w:ind w:right="0"/>
        <w:rPr>
          <w:b/>
          <w:sz w:val="24"/>
        </w:rPr>
      </w:pPr>
    </w:p>
    <w:p w:rsidR="00F95931" w:rsidRP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8"/>
          <w:szCs w:val="28"/>
        </w:rPr>
      </w:pPr>
      <w:r w:rsidRPr="00F95931">
        <w:rPr>
          <w:b/>
          <w:sz w:val="28"/>
          <w:szCs w:val="28"/>
        </w:rPr>
        <w:t>III. Okruh způsobilých žadatelů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/>
        <w:ind w:left="426" w:right="0"/>
        <w:rPr>
          <w:sz w:val="24"/>
        </w:rPr>
      </w:pPr>
      <w:r w:rsidRPr="00F95931">
        <w:rPr>
          <w:sz w:val="24"/>
        </w:rPr>
        <w:t xml:space="preserve">Do výběrového řízení se mohou přihlásit právnické i fyzické osoby (mimo fyzické osoby nepodnikající) splňující podmínky uvedené v těchto zásadách, jejichž </w:t>
      </w:r>
      <w:r w:rsidRPr="00F95931">
        <w:rPr>
          <w:b/>
          <w:sz w:val="24"/>
        </w:rPr>
        <w:t>hlavní náplní činnosti je</w:t>
      </w:r>
      <w:r w:rsidRPr="00F95931">
        <w:rPr>
          <w:sz w:val="24"/>
        </w:rPr>
        <w:t xml:space="preserve"> </w:t>
      </w:r>
      <w:r w:rsidRPr="00F95931">
        <w:rPr>
          <w:b/>
          <w:sz w:val="24"/>
        </w:rPr>
        <w:t>sport a tělovýchova</w:t>
      </w:r>
      <w:r w:rsidRPr="00F95931">
        <w:rPr>
          <w:sz w:val="24"/>
        </w:rPr>
        <w:t xml:space="preserve"> </w:t>
      </w:r>
      <w:r w:rsidRPr="00F95931">
        <w:rPr>
          <w:b/>
          <w:sz w:val="24"/>
        </w:rPr>
        <w:t xml:space="preserve">provozované na území města Ostravy, </w:t>
      </w:r>
      <w:r w:rsidRPr="00F95931">
        <w:rPr>
          <w:sz w:val="24"/>
        </w:rPr>
        <w:t xml:space="preserve">s výjimkou subjektů zřízených a založených statutárním městem Ostrava a městských obvodů. V případě, že se do dotačního řízení přihlásí fyzická osoba podnikající, společnost s ručením omezeným, akciová společnost nebo jiný právní subjekt, u kterého </w:t>
      </w:r>
      <w:r w:rsidRPr="00F95931">
        <w:rPr>
          <w:b/>
          <w:sz w:val="24"/>
        </w:rPr>
        <w:t>není zřejmé, zda je hlavní náplní jeho činnosti sport</w:t>
      </w:r>
      <w:r w:rsidRPr="00F95931">
        <w:rPr>
          <w:sz w:val="24"/>
        </w:rPr>
        <w:t>, je jeho povinností doložit čestné prohlášení týkající se hlavní náplně jeho činnosti (formulář je k dispozici na webových stránkách města).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/>
        <w:ind w:left="425" w:right="0"/>
        <w:rPr>
          <w:sz w:val="24"/>
        </w:rPr>
      </w:pPr>
    </w:p>
    <w:p w:rsidR="00F95931" w:rsidRP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8"/>
          <w:szCs w:val="28"/>
        </w:rPr>
      </w:pPr>
      <w:r w:rsidRPr="00F95931">
        <w:rPr>
          <w:b/>
          <w:sz w:val="28"/>
          <w:szCs w:val="28"/>
        </w:rPr>
        <w:t>IV. Lhůta pro podání žádosti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 w:after="120"/>
        <w:ind w:right="0" w:firstLine="426"/>
        <w:rPr>
          <w:sz w:val="24"/>
        </w:rPr>
      </w:pPr>
      <w:r w:rsidRPr="00F95931">
        <w:rPr>
          <w:b/>
          <w:sz w:val="24"/>
        </w:rPr>
        <w:t>Lhůta pro podání žádosti je od 21. 11. 2016 do 2. 12. 2016.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/>
        <w:ind w:left="425" w:right="0"/>
        <w:rPr>
          <w:b/>
          <w:sz w:val="24"/>
        </w:rPr>
      </w:pPr>
      <w:r w:rsidRPr="00F95931">
        <w:rPr>
          <w:sz w:val="24"/>
        </w:rPr>
        <w:t>V případě podaní žádosti mimo tento termín musí být odůvodněny a popsány skutečnosti, které vedou k podání mimořádné žádosti a splněna kritéria uvedená v tomto programu. Za důvod pro podání mimořádné žádosti se nepovažuje nedodržení výše uvedené lhůty pro podání žádosti.</w:t>
      </w:r>
    </w:p>
    <w:p w:rsidR="00F95931" w:rsidRP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/>
        <w:ind w:right="0"/>
        <w:rPr>
          <w:b/>
          <w:sz w:val="24"/>
        </w:rPr>
      </w:pPr>
      <w:r w:rsidRPr="00F95931">
        <w:rPr>
          <w:sz w:val="24"/>
        </w:rPr>
        <w:tab/>
      </w:r>
      <w:r w:rsidRPr="00F95931">
        <w:rPr>
          <w:sz w:val="24"/>
        </w:rPr>
        <w:tab/>
      </w:r>
    </w:p>
    <w:p w:rsidR="00F95931" w:rsidRP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8"/>
          <w:szCs w:val="28"/>
        </w:rPr>
      </w:pPr>
      <w:r w:rsidRPr="00F95931">
        <w:rPr>
          <w:b/>
          <w:sz w:val="28"/>
          <w:szCs w:val="28"/>
        </w:rPr>
        <w:t>V. Podmínky výběrového řízení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 w:after="120"/>
        <w:ind w:left="708" w:right="0" w:hanging="348"/>
        <w:rPr>
          <w:sz w:val="24"/>
        </w:rPr>
      </w:pPr>
      <w:r w:rsidRPr="00F95931">
        <w:rPr>
          <w:sz w:val="24"/>
        </w:rPr>
        <w:t>1.</w:t>
      </w:r>
      <w:r w:rsidRPr="00F95931">
        <w:rPr>
          <w:sz w:val="24"/>
        </w:rPr>
        <w:tab/>
        <w:t xml:space="preserve">Předpokladem poskytnutí peněžních prostředků je vyrovnání veškerých závazků vůči statutárnímu městu Ostrava, městským obvodům, příspěvkovým organizacím jimi zřízenými a obchodním společnostem s jejich majetkovou účastí a řádně a včas předložené finanční vyúčtování dotace (jež je finančním vypořádáním ve smyslu § 10a </w:t>
      </w:r>
      <w:r w:rsidRPr="00F95931">
        <w:rPr>
          <w:sz w:val="24"/>
        </w:rPr>
        <w:lastRenderedPageBreak/>
        <w:t>odst. 1 písm. d) zákona č.250/2000 Sb., o rozpočtových pravidlech územních rozpočtů, ve znění pozdějších předpisů) v rámci programů podpory spravovaných odborem školství a sportu, Magistrátu města Ostravy, za rok 2016, pokud byly v tomto roce poskytnuty.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 w:after="120"/>
        <w:ind w:left="708" w:right="0" w:hanging="348"/>
        <w:rPr>
          <w:sz w:val="24"/>
        </w:rPr>
      </w:pPr>
      <w:r w:rsidRPr="00F95931">
        <w:rPr>
          <w:sz w:val="24"/>
        </w:rPr>
        <w:t>2.</w:t>
      </w:r>
      <w:r w:rsidRPr="00F95931">
        <w:rPr>
          <w:sz w:val="24"/>
        </w:rPr>
        <w:tab/>
        <w:t>Žádost musí splňovat podmínky programu dle obecné i speciální části. Nesplňuje-li podmínky dané tímto programem, bude vyřazena z výběrového řízení.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 w:after="120"/>
        <w:ind w:left="708" w:right="0" w:hanging="348"/>
        <w:rPr>
          <w:sz w:val="24"/>
        </w:rPr>
      </w:pPr>
      <w:r w:rsidRPr="00F95931">
        <w:rPr>
          <w:sz w:val="24"/>
        </w:rPr>
        <w:t>3.</w:t>
      </w:r>
      <w:r w:rsidRPr="00F95931">
        <w:rPr>
          <w:sz w:val="24"/>
        </w:rPr>
        <w:tab/>
        <w:t>Žadatel si může do každého tématu podat pouze jednu žádost. Pokud si žadatel podává žádost o poskytnutí dotace do více než jednoho tématu, nesmí použít stejný název projektu</w:t>
      </w:r>
      <w:r w:rsidRPr="00F95931">
        <w:rPr>
          <w:b/>
          <w:sz w:val="24"/>
        </w:rPr>
        <w:t xml:space="preserve"> </w:t>
      </w:r>
      <w:r w:rsidRPr="00F95931">
        <w:rPr>
          <w:sz w:val="24"/>
        </w:rPr>
        <w:t>(jako název projektu nelze uvádět název tématu oblasti!).</w:t>
      </w:r>
      <w:r w:rsidRPr="00F95931">
        <w:rPr>
          <w:b/>
          <w:sz w:val="24"/>
        </w:rPr>
        <w:t xml:space="preserve"> Z nabídky témat 1.1, 1.2 a 2 si může žadatel zvolit pouze jedno z nich!</w:t>
      </w:r>
      <w:r w:rsidRPr="00F95931">
        <w:rPr>
          <w:sz w:val="24"/>
        </w:rPr>
        <w:t xml:space="preserve"> 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 w:after="120"/>
        <w:ind w:left="708" w:right="0" w:hanging="348"/>
        <w:rPr>
          <w:sz w:val="24"/>
        </w:rPr>
      </w:pPr>
      <w:r w:rsidRPr="00F95931">
        <w:rPr>
          <w:sz w:val="24"/>
        </w:rPr>
        <w:t>4.</w:t>
      </w:r>
      <w:r w:rsidRPr="00F95931">
        <w:rPr>
          <w:sz w:val="24"/>
        </w:rPr>
        <w:tab/>
        <w:t>V případě, že jsou celkové náklady na realizaci projektu vyšší než 1 mil. Kč, je žadatel povinen přiložit k žádosti účetní závěrku za předchozí rok.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 w:after="120"/>
        <w:ind w:left="708" w:right="0" w:hanging="348"/>
        <w:rPr>
          <w:color w:val="FF0000"/>
          <w:sz w:val="24"/>
        </w:rPr>
      </w:pPr>
      <w:r w:rsidRPr="00F95931">
        <w:rPr>
          <w:sz w:val="24"/>
        </w:rPr>
        <w:t>5.</w:t>
      </w:r>
      <w:r w:rsidRPr="00F95931">
        <w:rPr>
          <w:sz w:val="24"/>
        </w:rPr>
        <w:tab/>
        <w:t>Každá žádost musí být předložena v samostatné obálce!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 w:after="120"/>
        <w:ind w:left="708" w:right="0" w:hanging="348"/>
        <w:rPr>
          <w:sz w:val="24"/>
        </w:rPr>
      </w:pPr>
      <w:r w:rsidRPr="00F95931">
        <w:rPr>
          <w:sz w:val="24"/>
        </w:rPr>
        <w:t>6.</w:t>
      </w:r>
      <w:r w:rsidRPr="00F95931">
        <w:rPr>
          <w:sz w:val="24"/>
        </w:rPr>
        <w:tab/>
        <w:t xml:space="preserve">Do výběrového řízení v oblasti Tělovýchova a sport se žadatel přihlašuje prostřednictvím elektronické aplikace </w:t>
      </w:r>
      <w:proofErr w:type="spellStart"/>
      <w:r w:rsidRPr="00F95931">
        <w:rPr>
          <w:sz w:val="24"/>
        </w:rPr>
        <w:t>EvAgend</w:t>
      </w:r>
      <w:proofErr w:type="spellEnd"/>
      <w:r w:rsidRPr="00F95931">
        <w:rPr>
          <w:sz w:val="24"/>
        </w:rPr>
        <w:t xml:space="preserve">, dostupné na internetových stránkách </w:t>
      </w:r>
      <w:hyperlink r:id="rId14" w:history="1">
        <w:r w:rsidRPr="00F95931">
          <w:rPr>
            <w:rStyle w:val="Hypertextovodkaz"/>
            <w:sz w:val="24"/>
          </w:rPr>
          <w:t>www.ostrava.cz</w:t>
        </w:r>
      </w:hyperlink>
      <w:r w:rsidRPr="00F95931">
        <w:rPr>
          <w:sz w:val="24"/>
        </w:rPr>
        <w:t>. Zároveň je žadatel povinen</w:t>
      </w:r>
      <w:r w:rsidRPr="00F95931">
        <w:rPr>
          <w:b/>
          <w:sz w:val="24"/>
        </w:rPr>
        <w:t xml:space="preserve"> </w:t>
      </w:r>
      <w:r w:rsidRPr="00F95931">
        <w:rPr>
          <w:sz w:val="24"/>
        </w:rPr>
        <w:t xml:space="preserve">vyplněné formuláře z aplikace </w:t>
      </w:r>
      <w:proofErr w:type="spellStart"/>
      <w:r w:rsidRPr="00F95931">
        <w:rPr>
          <w:sz w:val="24"/>
        </w:rPr>
        <w:t>EvAgend</w:t>
      </w:r>
      <w:proofErr w:type="spellEnd"/>
      <w:r w:rsidRPr="00F95931">
        <w:rPr>
          <w:b/>
          <w:sz w:val="24"/>
        </w:rPr>
        <w:t xml:space="preserve"> –</w:t>
      </w:r>
      <w:r w:rsidRPr="00F95931">
        <w:rPr>
          <w:sz w:val="24"/>
        </w:rPr>
        <w:t xml:space="preserve"> </w:t>
      </w:r>
      <w:r w:rsidRPr="00F95931">
        <w:rPr>
          <w:b/>
          <w:sz w:val="24"/>
        </w:rPr>
        <w:t xml:space="preserve">žádost a popis projektu </w:t>
      </w:r>
      <w:r w:rsidRPr="00F95931">
        <w:rPr>
          <w:sz w:val="24"/>
        </w:rPr>
        <w:t>(k dispozici na webových stránkách) - dodat podepsané i v tištěné podobě, včetně povinných příloh.</w:t>
      </w:r>
    </w:p>
    <w:p w:rsidR="00F95931" w:rsidRPr="00F95931" w:rsidRDefault="00F95931" w:rsidP="00F95931">
      <w:pPr>
        <w:pStyle w:val="Zkladntext"/>
        <w:widowControl/>
        <w:tabs>
          <w:tab w:val="left" w:pos="708"/>
        </w:tabs>
        <w:spacing w:before="0"/>
        <w:ind w:left="703" w:right="0" w:hanging="346"/>
        <w:rPr>
          <w:sz w:val="24"/>
        </w:rPr>
      </w:pPr>
      <w:r w:rsidRPr="00F95931">
        <w:rPr>
          <w:sz w:val="24"/>
        </w:rPr>
        <w:t>7.</w:t>
      </w:r>
      <w:r w:rsidRPr="00F95931">
        <w:rPr>
          <w:sz w:val="24"/>
        </w:rPr>
        <w:tab/>
        <w:t xml:space="preserve">Přehled dalších </w:t>
      </w:r>
      <w:r w:rsidRPr="00F95931">
        <w:rPr>
          <w:b/>
          <w:sz w:val="24"/>
        </w:rPr>
        <w:t>povinných příloh</w:t>
      </w:r>
      <w:r w:rsidRPr="00F95931">
        <w:rPr>
          <w:sz w:val="24"/>
        </w:rPr>
        <w:t>, které je nutno doložit k žádosti</w:t>
      </w:r>
      <w:r w:rsidRPr="00F95931">
        <w:rPr>
          <w:b/>
          <w:sz w:val="24"/>
        </w:rPr>
        <w:t>:</w:t>
      </w:r>
    </w:p>
    <w:p w:rsidR="00F95931" w:rsidRPr="00F95931" w:rsidRDefault="00F95931" w:rsidP="00F95931">
      <w:pPr>
        <w:pStyle w:val="Odstavecseseznamem"/>
        <w:numPr>
          <w:ilvl w:val="0"/>
          <w:numId w:val="30"/>
        </w:numPr>
        <w:tabs>
          <w:tab w:val="left" w:pos="360"/>
          <w:tab w:val="left" w:pos="851"/>
        </w:tabs>
        <w:spacing w:before="120" w:after="120" w:line="240" w:lineRule="auto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5931">
        <w:rPr>
          <w:rFonts w:ascii="Times New Roman" w:hAnsi="Times New Roman" w:cs="Times New Roman"/>
          <w:b/>
          <w:sz w:val="24"/>
          <w:szCs w:val="24"/>
        </w:rPr>
        <w:t>č</w:t>
      </w:r>
      <w:r w:rsidRPr="00F959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estné prohlášení žadatele k podpoře malého rozsahu (de </w:t>
      </w:r>
      <w:proofErr w:type="spellStart"/>
      <w:r w:rsidRPr="00F95931">
        <w:rPr>
          <w:rFonts w:ascii="Times New Roman" w:hAnsi="Times New Roman" w:cs="Times New Roman"/>
          <w:b/>
          <w:bCs/>
          <w:iCs/>
          <w:sz w:val="24"/>
          <w:szCs w:val="24"/>
        </w:rPr>
        <w:t>minimis</w:t>
      </w:r>
      <w:proofErr w:type="spellEnd"/>
      <w:r w:rsidRPr="00F95931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Pr="00F9593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F95931">
        <w:rPr>
          <w:rFonts w:ascii="Times New Roman" w:hAnsi="Times New Roman" w:cs="Times New Roman"/>
          <w:sz w:val="24"/>
          <w:szCs w:val="24"/>
        </w:rPr>
        <w:t xml:space="preserve">povinné pro všechny žadatele; povinná příloha se vyplňuje na předepsaném formuláři dostupném na webových stránkách města </w:t>
      </w:r>
      <w:hyperlink r:id="rId15" w:history="1">
        <w:r w:rsidRPr="00F95931">
          <w:rPr>
            <w:rStyle w:val="Hypertextovodkaz"/>
            <w:rFonts w:ascii="Times New Roman" w:hAnsi="Times New Roman" w:cs="Times New Roman"/>
            <w:sz w:val="24"/>
            <w:szCs w:val="24"/>
          </w:rPr>
          <w:t>http://www.ostrava.cz/</w:t>
        </w:r>
      </w:hyperlink>
      <w:r w:rsidRPr="00F95931">
        <w:rPr>
          <w:rFonts w:ascii="Times New Roman" w:hAnsi="Times New Roman" w:cs="Times New Roman"/>
          <w:sz w:val="24"/>
          <w:szCs w:val="24"/>
        </w:rPr>
        <w:t xml:space="preserve"> a dokládá se jako originál;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0"/>
        </w:numPr>
        <w:tabs>
          <w:tab w:val="left" w:pos="851"/>
        </w:tabs>
        <w:snapToGrid w:val="0"/>
        <w:spacing w:before="0" w:after="120"/>
        <w:ind w:left="1134" w:right="0" w:hanging="357"/>
        <w:rPr>
          <w:sz w:val="24"/>
        </w:rPr>
      </w:pPr>
      <w:r w:rsidRPr="00F95931">
        <w:rPr>
          <w:b/>
          <w:sz w:val="24"/>
        </w:rPr>
        <w:t xml:space="preserve">čestné prohlášení o hlavní náplni činnosti žadatele </w:t>
      </w:r>
      <w:r w:rsidRPr="00F95931">
        <w:rPr>
          <w:sz w:val="24"/>
        </w:rPr>
        <w:t>– dokládá se v případě, že se do dotačního řízení přihlásí fyzická osoba podnikající, společnost s ručením omezeným, akciová společnost, spolek, nebo jiný právní subjekt, u kterého není z veřejných rejstříků zřejmé, zda je hlavní</w:t>
      </w:r>
      <w:r w:rsidRPr="00F95931">
        <w:rPr>
          <w:b/>
          <w:sz w:val="24"/>
        </w:rPr>
        <w:t xml:space="preserve"> </w:t>
      </w:r>
      <w:r w:rsidRPr="00F95931">
        <w:rPr>
          <w:sz w:val="24"/>
        </w:rPr>
        <w:t xml:space="preserve">náplní jeho činnosti sport; povinná příloha se vyplňuje na předepsaném formuláři dostupném na webových stránkách města </w:t>
      </w:r>
      <w:hyperlink r:id="rId16" w:history="1">
        <w:r w:rsidRPr="00F95931">
          <w:rPr>
            <w:rStyle w:val="Hypertextovodkaz"/>
            <w:sz w:val="24"/>
          </w:rPr>
          <w:t>http://www.ostrava.cz/</w:t>
        </w:r>
      </w:hyperlink>
      <w:r w:rsidRPr="00F95931">
        <w:rPr>
          <w:sz w:val="24"/>
        </w:rPr>
        <w:t xml:space="preserve"> a dokládá se jako originál;</w:t>
      </w:r>
    </w:p>
    <w:p w:rsidR="00F95931" w:rsidRPr="00F95931" w:rsidRDefault="00F95931" w:rsidP="00F95931">
      <w:pPr>
        <w:pStyle w:val="Odstavecseseznamem"/>
        <w:numPr>
          <w:ilvl w:val="0"/>
          <w:numId w:val="30"/>
        </w:numPr>
        <w:tabs>
          <w:tab w:val="left" w:pos="851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/>
          <w:bCs/>
          <w:iCs/>
          <w:sz w:val="24"/>
          <w:szCs w:val="24"/>
        </w:rPr>
        <w:t>účetní závěrka za rok 2015</w:t>
      </w:r>
      <w:r w:rsidRPr="00F95931">
        <w:rPr>
          <w:rFonts w:ascii="Times New Roman" w:hAnsi="Times New Roman" w:cs="Times New Roman"/>
          <w:bCs/>
          <w:iCs/>
          <w:sz w:val="24"/>
          <w:szCs w:val="24"/>
        </w:rPr>
        <w:t xml:space="preserve"> - dokládá se pouze v případě, že jsou celkové náklady na realizaci projektu vyšší než 1 mil. Kč.</w:t>
      </w:r>
    </w:p>
    <w:p w:rsidR="00F95931" w:rsidRPr="00F95931" w:rsidRDefault="00F95931" w:rsidP="00F95931">
      <w:pPr>
        <w:pStyle w:val="Odstavecseseznamem"/>
        <w:numPr>
          <w:ilvl w:val="0"/>
          <w:numId w:val="30"/>
        </w:numPr>
        <w:tabs>
          <w:tab w:val="left" w:pos="851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napToGrid w:val="0"/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/>
          <w:bCs/>
          <w:iCs/>
          <w:sz w:val="24"/>
          <w:szCs w:val="24"/>
        </w:rPr>
        <w:t>doklady o právní osobnosti žadatele</w:t>
      </w:r>
      <w:r w:rsidRPr="00F959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59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F95931">
        <w:rPr>
          <w:rFonts w:ascii="Times New Roman" w:hAnsi="Times New Roman" w:cs="Times New Roman"/>
          <w:bCs/>
          <w:iCs/>
          <w:sz w:val="24"/>
          <w:szCs w:val="24"/>
        </w:rPr>
        <w:t>v případě, že se žadatel účastnil výběrového řízení na poskytnutí dotací z rozpočtu SMO pro rok 2016 a v průběhu roku u něho nedošlo k žádným změnám, tyto povinné přílohy se nedokládají. V rámci této dotační oblasti stačí doklady doložit jedenkrát; dokládají se aktuální prosté kopie originálů.</w:t>
      </w:r>
      <w:r w:rsidRPr="00F959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959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F95931" w:rsidRPr="00F95931" w:rsidRDefault="00F95931" w:rsidP="00F95931">
      <w:pPr>
        <w:spacing w:before="120"/>
        <w:ind w:left="113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  <w:u w:val="single"/>
        </w:rPr>
        <w:t>pro fyzické osoby podnikající:</w:t>
      </w:r>
    </w:p>
    <w:p w:rsidR="00F95931" w:rsidRPr="00F95931" w:rsidRDefault="00F95931" w:rsidP="00F95931">
      <w:pPr>
        <w:numPr>
          <w:ilvl w:val="0"/>
          <w:numId w:val="31"/>
        </w:numPr>
        <w:spacing w:after="0" w:line="240" w:lineRule="auto"/>
        <w:ind w:left="1560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</w:rPr>
        <w:t>kopie smlouvy o založení běžného účtu u peněžního ústavu,</w:t>
      </w:r>
    </w:p>
    <w:p w:rsidR="00F95931" w:rsidRPr="00F95931" w:rsidRDefault="00F95931" w:rsidP="00F95931">
      <w:pPr>
        <w:numPr>
          <w:ilvl w:val="0"/>
          <w:numId w:val="31"/>
        </w:numPr>
        <w:spacing w:after="0" w:line="240" w:lineRule="auto"/>
        <w:ind w:left="1560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</w:rPr>
        <w:t xml:space="preserve">kopie živnostenského listu (pokud se jedná o činnost dle zákona č. 455/1991 Sb., o živnostenském podnikání (živnostenský zákon), </w:t>
      </w:r>
    </w:p>
    <w:p w:rsidR="00F95931" w:rsidRPr="00F95931" w:rsidRDefault="00F95931" w:rsidP="00F95931">
      <w:pPr>
        <w:numPr>
          <w:ilvl w:val="0"/>
          <w:numId w:val="31"/>
        </w:numPr>
        <w:spacing w:after="0" w:line="240" w:lineRule="auto"/>
        <w:ind w:left="1560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</w:rPr>
        <w:t>nebo kopie výpisu z veřejného rejstříku (pokud je fyzická osoba zapsaná),</w:t>
      </w:r>
    </w:p>
    <w:p w:rsidR="00F95931" w:rsidRPr="00F95931" w:rsidRDefault="00F95931" w:rsidP="00F95931">
      <w:pPr>
        <w:numPr>
          <w:ilvl w:val="0"/>
          <w:numId w:val="31"/>
        </w:numPr>
        <w:spacing w:after="120" w:line="240" w:lineRule="auto"/>
        <w:ind w:left="1559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</w:rPr>
        <w:t>kopie osvědčení o registraci – DIČ,</w:t>
      </w:r>
    </w:p>
    <w:p w:rsidR="00F95931" w:rsidRPr="00F95931" w:rsidRDefault="00F95931" w:rsidP="00F95931">
      <w:pPr>
        <w:ind w:left="113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  <w:u w:val="single"/>
        </w:rPr>
        <w:t>pro právnické osoby:</w:t>
      </w:r>
    </w:p>
    <w:p w:rsidR="00F95931" w:rsidRPr="00F95931" w:rsidRDefault="00F95931" w:rsidP="00F95931">
      <w:pPr>
        <w:numPr>
          <w:ilvl w:val="0"/>
          <w:numId w:val="32"/>
        </w:numPr>
        <w:spacing w:after="0" w:line="240" w:lineRule="auto"/>
        <w:ind w:left="1560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</w:rPr>
        <w:t>kopie smlouvy o založení běžného účtu u peněžního ústavu,</w:t>
      </w:r>
    </w:p>
    <w:p w:rsidR="00F95931" w:rsidRPr="00F95931" w:rsidRDefault="00F95931" w:rsidP="00F95931">
      <w:pPr>
        <w:numPr>
          <w:ilvl w:val="0"/>
          <w:numId w:val="32"/>
        </w:numPr>
        <w:spacing w:after="0" w:line="240" w:lineRule="auto"/>
        <w:ind w:left="1560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</w:rPr>
        <w:t>kopie dokladu o přidělení IČO,</w:t>
      </w:r>
    </w:p>
    <w:p w:rsidR="00F95931" w:rsidRPr="00F95931" w:rsidRDefault="00F95931" w:rsidP="00F95931">
      <w:pPr>
        <w:numPr>
          <w:ilvl w:val="0"/>
          <w:numId w:val="32"/>
        </w:numPr>
        <w:spacing w:after="0" w:line="240" w:lineRule="auto"/>
        <w:ind w:left="1560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kopie osvědčení o registraci - DIČ, pokud bylo přiděleno,</w:t>
      </w:r>
    </w:p>
    <w:p w:rsidR="00F95931" w:rsidRPr="00F95931" w:rsidRDefault="00F95931" w:rsidP="00F95931">
      <w:pPr>
        <w:numPr>
          <w:ilvl w:val="0"/>
          <w:numId w:val="32"/>
        </w:numPr>
        <w:spacing w:after="0" w:line="240" w:lineRule="auto"/>
        <w:ind w:left="1560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</w:rPr>
        <w:t>kopie dokladu právní osobnosti (výpis dle zákona č. 304/2013 Sb., o veřejných rejstřících právnických a fyzických osob; zřizovací listina; stanovy v platném znění; statut) s doložkou o registraci příslušným orgánem,</w:t>
      </w:r>
    </w:p>
    <w:p w:rsidR="00F95931" w:rsidRPr="00F95931" w:rsidRDefault="00F95931" w:rsidP="00F95931">
      <w:pPr>
        <w:numPr>
          <w:ilvl w:val="0"/>
          <w:numId w:val="32"/>
        </w:numPr>
        <w:spacing w:after="0" w:line="240" w:lineRule="auto"/>
        <w:ind w:left="1560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5931">
        <w:rPr>
          <w:rFonts w:ascii="Times New Roman" w:hAnsi="Times New Roman" w:cs="Times New Roman"/>
          <w:bCs/>
          <w:iCs/>
          <w:sz w:val="24"/>
          <w:szCs w:val="24"/>
        </w:rPr>
        <w:t>kopie dokladu o volbě nebo jmenování statutárního orgánu, příp. písemné zmocnění k zastupování.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3"/>
        </w:numPr>
        <w:tabs>
          <w:tab w:val="left" w:pos="708"/>
        </w:tabs>
        <w:snapToGrid w:val="0"/>
        <w:ind w:left="709" w:right="0"/>
        <w:rPr>
          <w:sz w:val="24"/>
        </w:rPr>
      </w:pPr>
      <w:r w:rsidRPr="00F95931">
        <w:rPr>
          <w:sz w:val="24"/>
        </w:rPr>
        <w:t>Součástí žádosti je č</w:t>
      </w:r>
      <w:r w:rsidRPr="00F95931">
        <w:rPr>
          <w:bCs w:val="0"/>
          <w:iCs w:val="0"/>
          <w:sz w:val="24"/>
        </w:rPr>
        <w:t>estné prohlášení žadatele, že ke dni podání žádosti nemá v evidenci daní zachyceny daňové nedoplatky, a to jak v České republice, tak v zemi sídla, místa podnikání, či bydliště žadatele, že nemá nedoplatek na pojistném na veřejném zdravotní pojištění, a to jak v České republice, tak v zemi sídla, místa podnikání, či bydliště žadatele a že nemá nedoplatek na pojistném na sociálním zabezpečení a příspěvku na státní politiku zaměstnanosti, a to jak v České republice, tak v zemi sídla, místa podnikání, či bydliště žadatele (text tohoto čestného prohlášení žadatel podepisuje na konci formuláře žádosti).</w:t>
      </w:r>
    </w:p>
    <w:p w:rsidR="00F95931" w:rsidRPr="00F95931" w:rsidRDefault="00F95931" w:rsidP="00F95931">
      <w:pPr>
        <w:ind w:left="1220" w:right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5931" w:rsidRP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8"/>
          <w:szCs w:val="28"/>
        </w:rPr>
      </w:pPr>
      <w:r w:rsidRPr="00F95931">
        <w:rPr>
          <w:b/>
          <w:sz w:val="28"/>
          <w:szCs w:val="28"/>
        </w:rPr>
        <w:t>VI. Uznatelné/neuznatelné náklady</w:t>
      </w:r>
    </w:p>
    <w:p w:rsidR="00F95931" w:rsidRPr="00F95931" w:rsidRDefault="00F95931" w:rsidP="00F95931">
      <w:pPr>
        <w:pStyle w:val="Default"/>
        <w:numPr>
          <w:ilvl w:val="1"/>
          <w:numId w:val="34"/>
        </w:numPr>
        <w:ind w:left="709"/>
        <w:jc w:val="both"/>
        <w:rPr>
          <w:b/>
        </w:rPr>
      </w:pPr>
      <w:r w:rsidRPr="00F95931">
        <w:rPr>
          <w:b/>
        </w:rPr>
        <w:t>Uznatelné náklady</w:t>
      </w:r>
    </w:p>
    <w:p w:rsidR="00F95931" w:rsidRPr="00F95931" w:rsidRDefault="00F95931" w:rsidP="00F95931">
      <w:pPr>
        <w:pStyle w:val="Zkladntext"/>
        <w:tabs>
          <w:tab w:val="left" w:pos="360"/>
        </w:tabs>
        <w:spacing w:before="0"/>
        <w:ind w:left="357" w:right="-108" w:hanging="11"/>
        <w:rPr>
          <w:sz w:val="24"/>
        </w:rPr>
      </w:pPr>
      <w:r w:rsidRPr="00F95931">
        <w:rPr>
          <w:sz w:val="24"/>
        </w:rPr>
        <w:tab/>
        <w:t xml:space="preserve">V rámci oblasti Tělovýchova a sport (kód </w:t>
      </w:r>
      <w:proofErr w:type="spellStart"/>
      <w:r w:rsidRPr="00F95931">
        <w:rPr>
          <w:sz w:val="24"/>
        </w:rPr>
        <w:t>ŠaS</w:t>
      </w:r>
      <w:proofErr w:type="spellEnd"/>
      <w:r w:rsidRPr="00F95931">
        <w:rPr>
          <w:sz w:val="24"/>
        </w:rPr>
        <w:t xml:space="preserve">/TV) mohou být poskytnuty finanční prostředky na úhradu níže uvedených uznatelných nákladů </w:t>
      </w:r>
      <w:r w:rsidRPr="00F95931">
        <w:rPr>
          <w:sz w:val="24"/>
          <w:u w:val="single"/>
        </w:rPr>
        <w:t>prokazatelně souvisejících s realizací projektu</w:t>
      </w:r>
      <w:r w:rsidRPr="00F95931">
        <w:rPr>
          <w:sz w:val="24"/>
        </w:rPr>
        <w:t>: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ind w:right="-108"/>
        <w:rPr>
          <w:sz w:val="24"/>
        </w:rPr>
      </w:pPr>
      <w:r w:rsidRPr="00F95931">
        <w:rPr>
          <w:sz w:val="24"/>
        </w:rPr>
        <w:t>balné, poštovné a doprava související s nákupem uznatelných nákladů;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bezpečnostní, zdravotnické a úklidové služby;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cestovné, doprava, přeprava materiálu, vleky (vč. permanentek);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energie, teplo, vodné, stočné, spotřeba plynu, odvoz odpadu;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nájem a služby spojené s nájmem sportovišť a nebytových prostor;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 xml:space="preserve">internetové a webové služby, </w:t>
      </w:r>
      <w:proofErr w:type="spellStart"/>
      <w:r w:rsidRPr="00F95931">
        <w:rPr>
          <w:sz w:val="24"/>
        </w:rPr>
        <w:t>stream</w:t>
      </w:r>
      <w:proofErr w:type="spellEnd"/>
      <w:r w:rsidRPr="00F95931">
        <w:rPr>
          <w:sz w:val="24"/>
        </w:rPr>
        <w:t xml:space="preserve"> zápasů v maximální souhrnné částce do 5% z poskytnuté dotace (specifikujte);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mzdy vč. zákonných odvodů pro technické pracovníky (správci, údržbáři, maséři, terapeuti apod. - specifikujte) v maximální souhrnné částce do 15 % z poskytnuté dotace;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nákup dlouhodobého hmotného majetku do 40.000,- Kč pro zajištění sportovní činnosti (specifikujte);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odměny pořadatelů, rozhodčích, technických a organizačních pracovníků (specifikujte);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odměny z dohod (OON – DPP, DPČ vč. zákonných odvodů) a služby (OSVČ): správců, trenérů pro děti a mládež (specifikujte);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opravy a udržování sportovišť a sportovního vybavení vč. nákupu materiálu (specifikujte);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osvětlení, ozvučení, pronájem tribuny, pódia, sportovního povrchu a mantinelů, toalet a časomíry včetně dopravy a instalace (specifikujte);</w:t>
      </w:r>
    </w:p>
    <w:p w:rsidR="00F95931" w:rsidRPr="00F95931" w:rsidRDefault="00F95931" w:rsidP="00F95931">
      <w:pPr>
        <w:pStyle w:val="Zsady-prosttext"/>
        <w:numPr>
          <w:ilvl w:val="0"/>
          <w:numId w:val="35"/>
        </w:numPr>
        <w:spacing w:after="0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PHM pro vozidla a techniku v majetku příjemce dotace v maximální souhrnné částce do 5% z poskytnuté dotace;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sportovní materiál a vybavení, zdravotní pomůcky a materiál (specifikujte);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startovné, ubytování, stravování, pitný režim;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telekomunikační a poštovní služby;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tabs>
          <w:tab w:val="left" w:pos="540"/>
        </w:tabs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t>věcné ceny, tiskové služby – kopírování, letáky, potisk materiálu apod. (specifikujte);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snapToGrid w:val="0"/>
        <w:spacing w:before="0"/>
        <w:ind w:right="-108"/>
        <w:rPr>
          <w:sz w:val="24"/>
        </w:rPr>
      </w:pPr>
      <w:r w:rsidRPr="00F95931">
        <w:rPr>
          <w:sz w:val="24"/>
        </w:rPr>
        <w:lastRenderedPageBreak/>
        <w:t>vzdělávání trenérů a lektorů související s projektem;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5"/>
        </w:numPr>
        <w:snapToGrid w:val="0"/>
        <w:spacing w:before="0"/>
        <w:ind w:right="-108"/>
        <w:jc w:val="left"/>
        <w:rPr>
          <w:b/>
          <w:sz w:val="24"/>
        </w:rPr>
      </w:pPr>
      <w:r w:rsidRPr="00F95931">
        <w:rPr>
          <w:sz w:val="24"/>
        </w:rPr>
        <w:t>zdravotní, rehabilitační a regenerační služby.</w:t>
      </w:r>
    </w:p>
    <w:p w:rsidR="00F95931" w:rsidRPr="00F95931" w:rsidRDefault="00F95931" w:rsidP="00F95931">
      <w:pPr>
        <w:pStyle w:val="Zkladntext"/>
        <w:widowControl/>
        <w:tabs>
          <w:tab w:val="left" w:pos="540"/>
        </w:tabs>
        <w:ind w:left="357" w:right="-108"/>
        <w:rPr>
          <w:color w:val="0070C0"/>
          <w:sz w:val="24"/>
        </w:rPr>
      </w:pPr>
      <w:r w:rsidRPr="00F95931">
        <w:rPr>
          <w:sz w:val="24"/>
        </w:rPr>
        <w:t xml:space="preserve">Při zpracovávání rozpočtu projektu je nutné zachovávat názvy nadefinovaných položek a v uvedených případech je dále specifikovat. </w:t>
      </w:r>
      <w:r w:rsidRPr="00F95931">
        <w:rPr>
          <w:b/>
          <w:sz w:val="24"/>
        </w:rPr>
        <w:t>Nespecifikované položky budou považovány za neuznatelný náklad!</w:t>
      </w:r>
    </w:p>
    <w:p w:rsidR="00F95931" w:rsidRPr="00F95931" w:rsidRDefault="00F95931" w:rsidP="00F95931">
      <w:pPr>
        <w:pStyle w:val="Default"/>
        <w:spacing w:before="120"/>
        <w:ind w:left="720" w:hanging="306"/>
        <w:jc w:val="both"/>
        <w:rPr>
          <w:b/>
        </w:rPr>
      </w:pPr>
      <w:r w:rsidRPr="00F95931">
        <w:rPr>
          <w:b/>
        </w:rPr>
        <w:t>2.</w:t>
      </w:r>
      <w:r w:rsidRPr="00F95931">
        <w:rPr>
          <w:b/>
        </w:rPr>
        <w:tab/>
        <w:t>Z poskytnuté dotace nelze hradit zejména: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dary;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finanční příspěvek zaměstnavatele na stravování zaměstnanců (včetně stravenek);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leasingové splátky, úroky z úvěrů a půjček a jakékoliv finanční závazky, které nevznikly žadateli ve spojitosti s projektem, na jehož přípravu a realizaci mu byla poskytnuta dotace;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 xml:space="preserve">náklady, které byly vynaloženy příjemcem dotace pro jiný subjekt a byly </w:t>
      </w:r>
      <w:proofErr w:type="spellStart"/>
      <w:r w:rsidRPr="00F95931">
        <w:rPr>
          <w:rFonts w:cs="Times New Roman"/>
          <w:szCs w:val="24"/>
        </w:rPr>
        <w:t>refakturovány</w:t>
      </w:r>
      <w:proofErr w:type="spellEnd"/>
      <w:r w:rsidRPr="00F95931">
        <w:rPr>
          <w:rFonts w:cs="Times New Roman"/>
          <w:szCs w:val="24"/>
        </w:rPr>
        <w:t>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náklady, které má příjemce dotace zakalkulovány v ceně služby, kterou poskytuje cizímu subjektu;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náklady na pohoštění – rauty, občerstvení;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odpisy z majetku;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náklady vzniklé v souvislosti s tvorbou rezerv, časového rozlišení a opravných položek;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5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platby z jakéhokoliv právního důvodu jiným právnickým nebo fyzickým osobám, které se nepodílejí na přípravě a realizaci projektu, na který byla poskytnuta dotace;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smluvní pokuty, penále, úroky z prodlení či jakékoliv jiné majetkové sankce;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vzájemný zápočet závazků a pohledávek;</w:t>
      </w:r>
    </w:p>
    <w:p w:rsidR="00F95931" w:rsidRPr="00F95931" w:rsidRDefault="00F95931" w:rsidP="00F95931">
      <w:pPr>
        <w:pStyle w:val="Zsady-prosttext"/>
        <w:numPr>
          <w:ilvl w:val="0"/>
          <w:numId w:val="36"/>
        </w:numPr>
        <w:spacing w:after="0"/>
        <w:ind w:hanging="294"/>
        <w:rPr>
          <w:rFonts w:cs="Times New Roman"/>
          <w:szCs w:val="24"/>
        </w:rPr>
      </w:pPr>
      <w:r w:rsidRPr="00F95931">
        <w:rPr>
          <w:rFonts w:cs="Times New Roman"/>
          <w:szCs w:val="24"/>
        </w:rPr>
        <w:t>zálohové platby, které nebudou do termínu končeného čerpání dotace vyúčtovány.</w:t>
      </w:r>
    </w:p>
    <w:p w:rsidR="00F95931" w:rsidRP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/>
        <w:ind w:left="567" w:right="0" w:hanging="567"/>
        <w:rPr>
          <w:b/>
          <w:sz w:val="28"/>
          <w:szCs w:val="28"/>
        </w:rPr>
      </w:pPr>
    </w:p>
    <w:p w:rsidR="00F95931" w:rsidRPr="00F95931" w:rsidRDefault="00F95931" w:rsidP="00F95931">
      <w:pPr>
        <w:pStyle w:val="Zkladntext"/>
        <w:widowControl/>
        <w:tabs>
          <w:tab w:val="left" w:pos="567"/>
          <w:tab w:val="left" w:pos="708"/>
        </w:tabs>
        <w:spacing w:before="0" w:after="120"/>
        <w:ind w:left="567" w:right="0" w:hanging="567"/>
        <w:rPr>
          <w:b/>
          <w:sz w:val="28"/>
          <w:szCs w:val="28"/>
        </w:rPr>
      </w:pPr>
      <w:r w:rsidRPr="00F95931">
        <w:rPr>
          <w:b/>
          <w:sz w:val="28"/>
          <w:szCs w:val="28"/>
        </w:rPr>
        <w:t>VII. Kritéria hodnocení jednotlivých projektů: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sz w:val="24"/>
        </w:rPr>
        <w:t xml:space="preserve">Provozování sportovní činnosti ve prospěch občanů města Ostravy </w:t>
      </w:r>
      <w:r w:rsidRPr="00F95931">
        <w:rPr>
          <w:b/>
          <w:sz w:val="24"/>
        </w:rPr>
        <w:t>déle než 1 rok</w:t>
      </w:r>
      <w:r w:rsidRPr="00F95931">
        <w:rPr>
          <w:sz w:val="24"/>
        </w:rPr>
        <w:t>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sz w:val="24"/>
        </w:rPr>
        <w:t xml:space="preserve">Splnění veškerých </w:t>
      </w:r>
      <w:r w:rsidRPr="00F95931">
        <w:rPr>
          <w:b/>
          <w:sz w:val="24"/>
        </w:rPr>
        <w:t>formálních náležitostí a úroveň zpracování projektu</w:t>
      </w:r>
      <w:r w:rsidRPr="00F95931">
        <w:rPr>
          <w:sz w:val="24"/>
        </w:rPr>
        <w:t>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b/>
          <w:sz w:val="24"/>
        </w:rPr>
        <w:t>Soulad</w:t>
      </w:r>
      <w:r w:rsidRPr="00F95931">
        <w:rPr>
          <w:sz w:val="24"/>
        </w:rPr>
        <w:t xml:space="preserve"> s tématem dotační oblastí a potřebnost realizace projektu;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sz w:val="24"/>
        </w:rPr>
        <w:t xml:space="preserve">Výsledky předběžné veřejnosprávní kontroly dle zákona č. 320/2001 Sb. - posouzení požadavku </w:t>
      </w:r>
      <w:r w:rsidRPr="00F95931">
        <w:rPr>
          <w:b/>
          <w:sz w:val="24"/>
        </w:rPr>
        <w:t>z hlediska efektivity, hospodárnosti a účelnosti</w:t>
      </w:r>
      <w:r w:rsidRPr="00F95931">
        <w:rPr>
          <w:sz w:val="24"/>
        </w:rPr>
        <w:t>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b/>
          <w:sz w:val="24"/>
        </w:rPr>
        <w:t>Výsledky</w:t>
      </w:r>
      <w:r w:rsidRPr="00F95931">
        <w:rPr>
          <w:sz w:val="24"/>
        </w:rPr>
        <w:t xml:space="preserve"> veřejnosprávních kontrol a </w:t>
      </w:r>
      <w:r w:rsidRPr="00F95931">
        <w:rPr>
          <w:b/>
          <w:sz w:val="24"/>
        </w:rPr>
        <w:t xml:space="preserve">úroveň zpracování </w:t>
      </w:r>
      <w:r w:rsidRPr="00F95931">
        <w:rPr>
          <w:sz w:val="24"/>
        </w:rPr>
        <w:t>finančního vypořádání (vyúčtování) dotací obdržených v minulosti;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b/>
          <w:sz w:val="24"/>
        </w:rPr>
        <w:t xml:space="preserve">Historie </w:t>
      </w:r>
      <w:r w:rsidRPr="00F95931">
        <w:rPr>
          <w:sz w:val="24"/>
        </w:rPr>
        <w:t>poskytnutých dotací ze strany SMO v minulosti;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b/>
          <w:sz w:val="24"/>
        </w:rPr>
        <w:t>Popularita sportu</w:t>
      </w:r>
      <w:r w:rsidRPr="00F95931">
        <w:rPr>
          <w:sz w:val="24"/>
        </w:rPr>
        <w:t xml:space="preserve"> v České republice;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b/>
          <w:sz w:val="24"/>
        </w:rPr>
        <w:t>Ziskový či neziskový charakter</w:t>
      </w:r>
      <w:r w:rsidRPr="00F95931">
        <w:rPr>
          <w:sz w:val="24"/>
        </w:rPr>
        <w:t xml:space="preserve"> žadatele – způsob financování projektu;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b/>
          <w:sz w:val="24"/>
        </w:rPr>
        <w:t>Úroveň podpory vzdělávání</w:t>
      </w:r>
      <w:r w:rsidRPr="00F95931">
        <w:rPr>
          <w:sz w:val="24"/>
        </w:rPr>
        <w:t xml:space="preserve"> trenérů, lektorů, sportovních pracovníků apod.;</w:t>
      </w:r>
    </w:p>
    <w:p w:rsidR="00F95931" w:rsidRPr="00F95931" w:rsidRDefault="00F95931" w:rsidP="00F95931">
      <w:pPr>
        <w:pStyle w:val="Zkladntext"/>
        <w:widowControl/>
        <w:numPr>
          <w:ilvl w:val="0"/>
          <w:numId w:val="37"/>
        </w:numPr>
        <w:tabs>
          <w:tab w:val="left" w:pos="360"/>
        </w:tabs>
        <w:snapToGrid w:val="0"/>
        <w:spacing w:before="0"/>
        <w:ind w:right="0"/>
        <w:rPr>
          <w:sz w:val="24"/>
        </w:rPr>
      </w:pPr>
      <w:r w:rsidRPr="00F95931">
        <w:rPr>
          <w:b/>
          <w:sz w:val="24"/>
        </w:rPr>
        <w:t>Finanční náročnost</w:t>
      </w:r>
      <w:r w:rsidRPr="00F95931">
        <w:rPr>
          <w:sz w:val="24"/>
        </w:rPr>
        <w:t xml:space="preserve"> provozovaného sportu.</w:t>
      </w:r>
    </w:p>
    <w:p w:rsidR="00F95931" w:rsidRPr="00F95931" w:rsidRDefault="00F95931" w:rsidP="00F95931">
      <w:pPr>
        <w:pStyle w:val="Zkladntext"/>
        <w:widowControl/>
        <w:tabs>
          <w:tab w:val="left" w:pos="360"/>
        </w:tabs>
        <w:spacing w:before="0"/>
        <w:ind w:right="0"/>
        <w:rPr>
          <w:sz w:val="24"/>
        </w:rPr>
      </w:pPr>
    </w:p>
    <w:p w:rsidR="00F95931" w:rsidRPr="00F95931" w:rsidRDefault="00F95931" w:rsidP="00F95931">
      <w:pPr>
        <w:pStyle w:val="Zkladntext"/>
        <w:widowControl/>
        <w:tabs>
          <w:tab w:val="left" w:pos="360"/>
        </w:tabs>
        <w:spacing w:before="0"/>
        <w:ind w:right="0"/>
        <w:rPr>
          <w:sz w:val="24"/>
        </w:rPr>
      </w:pPr>
      <w:r w:rsidRPr="00F95931">
        <w:rPr>
          <w:sz w:val="24"/>
        </w:rPr>
        <w:t>Tento program byl schválen usnesením zastupitelstva města Ostravy č. 1333/ZM1418/20 ze dne </w:t>
      </w:r>
      <w:proofErr w:type="gramStart"/>
      <w:r w:rsidRPr="00F95931">
        <w:rPr>
          <w:sz w:val="24"/>
        </w:rPr>
        <w:t>19.10.2016</w:t>
      </w:r>
      <w:proofErr w:type="gramEnd"/>
      <w:r w:rsidRPr="00F95931">
        <w:rPr>
          <w:sz w:val="24"/>
        </w:rPr>
        <w:t>.</w:t>
      </w:r>
    </w:p>
    <w:p w:rsidR="00F95931" w:rsidRPr="00F95931" w:rsidRDefault="00F95931" w:rsidP="00BC5023">
      <w:pPr>
        <w:pStyle w:val="Zsady-prosttext"/>
        <w:rPr>
          <w:rFonts w:cs="Times New Roman"/>
          <w:szCs w:val="24"/>
        </w:rPr>
      </w:pPr>
    </w:p>
    <w:sectPr w:rsidR="00F95931" w:rsidRPr="00F95931" w:rsidSect="0048051C">
      <w:headerReference w:type="default" r:id="rId17"/>
      <w:footerReference w:type="default" r:id="rId18"/>
      <w:pgSz w:w="11906" w:h="16838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E0" w:rsidRDefault="00FD1FE0" w:rsidP="0048051C">
      <w:pPr>
        <w:spacing w:after="0" w:line="240" w:lineRule="auto"/>
      </w:pPr>
      <w:r>
        <w:separator/>
      </w:r>
    </w:p>
  </w:endnote>
  <w:endnote w:type="continuationSeparator" w:id="0">
    <w:p w:rsidR="00FD1FE0" w:rsidRDefault="00FD1FE0" w:rsidP="0048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310005"/>
      <w:docPartObj>
        <w:docPartGallery w:val="Page Numbers (Bottom of Page)"/>
        <w:docPartUnique/>
      </w:docPartObj>
    </w:sdtPr>
    <w:sdtEndPr/>
    <w:sdtContent>
      <w:p w:rsidR="00060F4A" w:rsidRDefault="00060F4A">
        <w:pPr>
          <w:pStyle w:val="Zpat"/>
          <w:jc w:val="center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1" locked="1" layoutInCell="1" allowOverlap="1" wp14:anchorId="4DD411EE" wp14:editId="5BC0B69E">
              <wp:simplePos x="0" y="0"/>
              <wp:positionH relativeFrom="column">
                <wp:posOffset>4342130</wp:posOffset>
              </wp:positionH>
              <wp:positionV relativeFrom="page">
                <wp:posOffset>10043795</wp:posOffset>
              </wp:positionV>
              <wp:extent cx="2052000" cy="248400"/>
              <wp:effectExtent l="0" t="0" r="5715" b="0"/>
              <wp:wrapTight wrapText="bothSides">
                <wp:wrapPolygon edited="0">
                  <wp:start x="0" y="0"/>
                  <wp:lineTo x="0" y="19887"/>
                  <wp:lineTo x="21460" y="19887"/>
                  <wp:lineTo x="21460" y="0"/>
                  <wp:lineTo x="0" y="0"/>
                </wp:wrapPolygon>
              </wp:wrapTight>
              <wp:docPr id="3" name="Obrázek 3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2000" cy="24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5931">
          <w:rPr>
            <w:noProof/>
          </w:rPr>
          <w:t>8</w:t>
        </w:r>
        <w:r>
          <w:fldChar w:fldCharType="end"/>
        </w:r>
        <w:r w:rsidR="009A2046">
          <w:t>/</w:t>
        </w:r>
        <w:r w:rsidR="00F95931">
          <w:t>8</w:t>
        </w:r>
      </w:p>
    </w:sdtContent>
  </w:sdt>
  <w:p w:rsidR="000D12AB" w:rsidRDefault="000D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E0" w:rsidRDefault="00FD1FE0" w:rsidP="0048051C">
      <w:pPr>
        <w:spacing w:after="0" w:line="240" w:lineRule="auto"/>
      </w:pPr>
      <w:r>
        <w:separator/>
      </w:r>
    </w:p>
  </w:footnote>
  <w:footnote w:type="continuationSeparator" w:id="0">
    <w:p w:rsidR="00FD1FE0" w:rsidRDefault="00FD1FE0" w:rsidP="0048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1C" w:rsidRDefault="00EF32DE" w:rsidP="0048051C">
    <w:pPr>
      <w:pStyle w:val="Zhlav"/>
      <w:jc w:val="right"/>
    </w:pPr>
    <w:r>
      <w:rPr>
        <w:rFonts w:ascii="Arial" w:hAnsi="Arial" w:cs="Arial"/>
        <w:b/>
        <w:color w:val="00ADD0"/>
        <w:sz w:val="40"/>
        <w:szCs w:val="40"/>
      </w:rPr>
      <w:t>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A3E"/>
    <w:multiLevelType w:val="multilevel"/>
    <w:tmpl w:val="BC5EE5A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5" w:hanging="1800"/>
      </w:pPr>
      <w:rPr>
        <w:rFonts w:hint="default"/>
      </w:rPr>
    </w:lvl>
  </w:abstractNum>
  <w:abstractNum w:abstractNumId="1">
    <w:nsid w:val="09B92113"/>
    <w:multiLevelType w:val="multilevel"/>
    <w:tmpl w:val="EE386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605E30"/>
    <w:multiLevelType w:val="multilevel"/>
    <w:tmpl w:val="EE386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EF29F1"/>
    <w:multiLevelType w:val="hybridMultilevel"/>
    <w:tmpl w:val="2C10B144"/>
    <w:lvl w:ilvl="0" w:tplc="1E5AA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64AE8"/>
    <w:multiLevelType w:val="multilevel"/>
    <w:tmpl w:val="34DC4A5C"/>
    <w:lvl w:ilvl="0">
      <w:start w:val="1"/>
      <w:numFmt w:val="decimal"/>
      <w:lvlText w:val="%1"/>
      <w:lvlJc w:val="left"/>
      <w:pPr>
        <w:ind w:left="360" w:hanging="360"/>
      </w:pPr>
      <w:rPr>
        <w:color w:val="0070C0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color w:val="0070C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color w:val="0070C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color w:val="0070C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color w:val="0070C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color w:val="0070C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color w:val="0070C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color w:val="0070C0"/>
      </w:rPr>
    </w:lvl>
  </w:abstractNum>
  <w:abstractNum w:abstractNumId="5">
    <w:nsid w:val="209E084D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E6B15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E4B3A"/>
    <w:multiLevelType w:val="hybridMultilevel"/>
    <w:tmpl w:val="B464EB50"/>
    <w:lvl w:ilvl="0" w:tplc="EF08B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A38C2"/>
    <w:multiLevelType w:val="hybridMultilevel"/>
    <w:tmpl w:val="6778DBD0"/>
    <w:lvl w:ilvl="0" w:tplc="317E0D4C">
      <w:start w:val="3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772D0B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765B9"/>
    <w:multiLevelType w:val="hybridMultilevel"/>
    <w:tmpl w:val="9766C880"/>
    <w:lvl w:ilvl="0" w:tplc="4BBAB3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758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147239"/>
    <w:multiLevelType w:val="hybridMultilevel"/>
    <w:tmpl w:val="DBB6815A"/>
    <w:lvl w:ilvl="0" w:tplc="3D30D9D2">
      <w:start w:val="8"/>
      <w:numFmt w:val="decimal"/>
      <w:lvlText w:val="%1."/>
      <w:lvlJc w:val="left"/>
      <w:pPr>
        <w:ind w:left="288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A3952E7"/>
    <w:multiLevelType w:val="multilevel"/>
    <w:tmpl w:val="C9D68C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27ED2"/>
    <w:multiLevelType w:val="hybridMultilevel"/>
    <w:tmpl w:val="63FAD93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BB2537F"/>
    <w:multiLevelType w:val="hybridMultilevel"/>
    <w:tmpl w:val="264E0B36"/>
    <w:lvl w:ilvl="0" w:tplc="63807FA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77272"/>
    <w:multiLevelType w:val="hybridMultilevel"/>
    <w:tmpl w:val="0644A57E"/>
    <w:lvl w:ilvl="0" w:tplc="C3C4B7B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0A11E4C"/>
    <w:multiLevelType w:val="hybridMultilevel"/>
    <w:tmpl w:val="2026D4DE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E41E9"/>
    <w:multiLevelType w:val="hybridMultilevel"/>
    <w:tmpl w:val="9E16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E4A9C"/>
    <w:multiLevelType w:val="hybridMultilevel"/>
    <w:tmpl w:val="DB6EAF70"/>
    <w:lvl w:ilvl="0" w:tplc="C676418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8657A1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D7B96"/>
    <w:multiLevelType w:val="hybridMultilevel"/>
    <w:tmpl w:val="FDCE6500"/>
    <w:lvl w:ilvl="0" w:tplc="7C007A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51687B"/>
    <w:multiLevelType w:val="hybridMultilevel"/>
    <w:tmpl w:val="C8AC06FE"/>
    <w:lvl w:ilvl="0" w:tplc="85405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67D9F"/>
    <w:multiLevelType w:val="multilevel"/>
    <w:tmpl w:val="B0A4F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32C7AD0"/>
    <w:multiLevelType w:val="hybridMultilevel"/>
    <w:tmpl w:val="B9102F4E"/>
    <w:lvl w:ilvl="0" w:tplc="317E0D4C">
      <w:start w:val="3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8D2168"/>
    <w:multiLevelType w:val="hybridMultilevel"/>
    <w:tmpl w:val="9DE4D882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76BE2"/>
    <w:multiLevelType w:val="hybridMultilevel"/>
    <w:tmpl w:val="4726F7B6"/>
    <w:lvl w:ilvl="0" w:tplc="B636D6D6">
      <w:start w:val="1"/>
      <w:numFmt w:val="upperRoman"/>
      <w:lvlText w:val="%1."/>
      <w:lvlJc w:val="right"/>
      <w:pPr>
        <w:ind w:left="873" w:hanging="64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07A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3E7B66"/>
    <w:multiLevelType w:val="hybridMultilevel"/>
    <w:tmpl w:val="BF1052A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3E51AB2"/>
    <w:multiLevelType w:val="hybridMultilevel"/>
    <w:tmpl w:val="C7C678A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77712F4"/>
    <w:multiLevelType w:val="hybridMultilevel"/>
    <w:tmpl w:val="52F01D08"/>
    <w:lvl w:ilvl="0" w:tplc="3FA4095C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6EB85343"/>
    <w:multiLevelType w:val="hybridMultilevel"/>
    <w:tmpl w:val="BFC444CC"/>
    <w:lvl w:ilvl="0" w:tplc="3622243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 w:tplc="27CAC1F4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b/>
      </w:rPr>
    </w:lvl>
    <w:lvl w:ilvl="2" w:tplc="68ECB7D8">
      <w:start w:val="1"/>
      <w:numFmt w:val="lowerLetter"/>
      <w:lvlText w:val="%3)"/>
      <w:lvlJc w:val="left"/>
      <w:pPr>
        <w:ind w:left="2340" w:hanging="360"/>
      </w:pPr>
      <w:rPr>
        <w:color w:val="auto"/>
      </w:rPr>
    </w:lvl>
    <w:lvl w:ilvl="3" w:tplc="BFD01ABC">
      <w:start w:val="6"/>
      <w:numFmt w:val="decimal"/>
      <w:lvlText w:val="%4."/>
      <w:lvlJc w:val="left"/>
      <w:pPr>
        <w:ind w:left="2880" w:hanging="360"/>
      </w:pPr>
      <w:rPr>
        <w:sz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ED5BAC"/>
    <w:multiLevelType w:val="hybridMultilevel"/>
    <w:tmpl w:val="548E4082"/>
    <w:lvl w:ilvl="0" w:tplc="1C900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B59E4"/>
    <w:multiLevelType w:val="hybridMultilevel"/>
    <w:tmpl w:val="E2EE43A6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6400A4"/>
    <w:multiLevelType w:val="hybridMultilevel"/>
    <w:tmpl w:val="6E2889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4907FD3"/>
    <w:multiLevelType w:val="hybridMultilevel"/>
    <w:tmpl w:val="2EB64220"/>
    <w:lvl w:ilvl="0" w:tplc="317E0D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E3D"/>
    <w:multiLevelType w:val="hybridMultilevel"/>
    <w:tmpl w:val="36385728"/>
    <w:lvl w:ilvl="0" w:tplc="EC5C2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36"/>
  </w:num>
  <w:num w:numId="4">
    <w:abstractNumId w:val="5"/>
  </w:num>
  <w:num w:numId="5">
    <w:abstractNumId w:val="21"/>
  </w:num>
  <w:num w:numId="6">
    <w:abstractNumId w:val="27"/>
  </w:num>
  <w:num w:numId="7">
    <w:abstractNumId w:val="11"/>
  </w:num>
  <w:num w:numId="8">
    <w:abstractNumId w:val="23"/>
  </w:num>
  <w:num w:numId="9">
    <w:abstractNumId w:val="1"/>
  </w:num>
  <w:num w:numId="10">
    <w:abstractNumId w:val="20"/>
  </w:num>
  <w:num w:numId="11">
    <w:abstractNumId w:val="6"/>
  </w:num>
  <w:num w:numId="12">
    <w:abstractNumId w:val="2"/>
  </w:num>
  <w:num w:numId="13">
    <w:abstractNumId w:val="35"/>
  </w:num>
  <w:num w:numId="14">
    <w:abstractNumId w:val="10"/>
  </w:num>
  <w:num w:numId="15">
    <w:abstractNumId w:val="9"/>
  </w:num>
  <w:num w:numId="16">
    <w:abstractNumId w:val="30"/>
  </w:num>
  <w:num w:numId="17">
    <w:abstractNumId w:val="0"/>
  </w:num>
  <w:num w:numId="18">
    <w:abstractNumId w:val="28"/>
  </w:num>
  <w:num w:numId="19">
    <w:abstractNumId w:val="22"/>
  </w:num>
  <w:num w:numId="20">
    <w:abstractNumId w:val="3"/>
  </w:num>
  <w:num w:numId="21">
    <w:abstractNumId w:val="32"/>
  </w:num>
  <w:num w:numId="22">
    <w:abstractNumId w:val="1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1C"/>
    <w:rsid w:val="00003178"/>
    <w:rsid w:val="00007626"/>
    <w:rsid w:val="0002497B"/>
    <w:rsid w:val="00057E0F"/>
    <w:rsid w:val="00060F4A"/>
    <w:rsid w:val="000A1CEE"/>
    <w:rsid w:val="000B6AEC"/>
    <w:rsid w:val="000D12AB"/>
    <w:rsid w:val="001A5348"/>
    <w:rsid w:val="001B4710"/>
    <w:rsid w:val="001E2C32"/>
    <w:rsid w:val="001F604D"/>
    <w:rsid w:val="00204096"/>
    <w:rsid w:val="00233656"/>
    <w:rsid w:val="002905DC"/>
    <w:rsid w:val="00292802"/>
    <w:rsid w:val="002C22FD"/>
    <w:rsid w:val="002C3E6E"/>
    <w:rsid w:val="002E5793"/>
    <w:rsid w:val="00336499"/>
    <w:rsid w:val="003602E3"/>
    <w:rsid w:val="0036354B"/>
    <w:rsid w:val="00381CB9"/>
    <w:rsid w:val="00385127"/>
    <w:rsid w:val="00390D05"/>
    <w:rsid w:val="003925F2"/>
    <w:rsid w:val="003948B9"/>
    <w:rsid w:val="003B69D8"/>
    <w:rsid w:val="003D3B12"/>
    <w:rsid w:val="00404611"/>
    <w:rsid w:val="00462371"/>
    <w:rsid w:val="00462F29"/>
    <w:rsid w:val="0048051C"/>
    <w:rsid w:val="00487F23"/>
    <w:rsid w:val="004B3A23"/>
    <w:rsid w:val="004E2E88"/>
    <w:rsid w:val="004E5ECD"/>
    <w:rsid w:val="00515BF5"/>
    <w:rsid w:val="00521261"/>
    <w:rsid w:val="00571404"/>
    <w:rsid w:val="00573003"/>
    <w:rsid w:val="00586971"/>
    <w:rsid w:val="0059496F"/>
    <w:rsid w:val="005B55D2"/>
    <w:rsid w:val="005D1CDB"/>
    <w:rsid w:val="00606848"/>
    <w:rsid w:val="006408C8"/>
    <w:rsid w:val="006A70AE"/>
    <w:rsid w:val="006C10D4"/>
    <w:rsid w:val="006D2F30"/>
    <w:rsid w:val="006E3BF5"/>
    <w:rsid w:val="006F3726"/>
    <w:rsid w:val="006F5B3C"/>
    <w:rsid w:val="007525BB"/>
    <w:rsid w:val="00784B30"/>
    <w:rsid w:val="007919D1"/>
    <w:rsid w:val="00824B26"/>
    <w:rsid w:val="00826703"/>
    <w:rsid w:val="00836FDF"/>
    <w:rsid w:val="00861F4F"/>
    <w:rsid w:val="00863210"/>
    <w:rsid w:val="00896C55"/>
    <w:rsid w:val="008A56E7"/>
    <w:rsid w:val="008C44A5"/>
    <w:rsid w:val="008C4F13"/>
    <w:rsid w:val="008D15B4"/>
    <w:rsid w:val="008D4ADD"/>
    <w:rsid w:val="008E2AA0"/>
    <w:rsid w:val="008F15BD"/>
    <w:rsid w:val="00900D7C"/>
    <w:rsid w:val="00910168"/>
    <w:rsid w:val="009234AF"/>
    <w:rsid w:val="00931262"/>
    <w:rsid w:val="009614F0"/>
    <w:rsid w:val="009A2046"/>
    <w:rsid w:val="009B1892"/>
    <w:rsid w:val="009D2FDE"/>
    <w:rsid w:val="009E4D76"/>
    <w:rsid w:val="009F0620"/>
    <w:rsid w:val="00A546B7"/>
    <w:rsid w:val="00B14F1F"/>
    <w:rsid w:val="00B16714"/>
    <w:rsid w:val="00B30DA9"/>
    <w:rsid w:val="00B33B63"/>
    <w:rsid w:val="00B33CE4"/>
    <w:rsid w:val="00B87B49"/>
    <w:rsid w:val="00BA4786"/>
    <w:rsid w:val="00BC5023"/>
    <w:rsid w:val="00BE73A6"/>
    <w:rsid w:val="00C07DAA"/>
    <w:rsid w:val="00C25D2B"/>
    <w:rsid w:val="00C4651F"/>
    <w:rsid w:val="00C7625B"/>
    <w:rsid w:val="00CC1874"/>
    <w:rsid w:val="00CD57AB"/>
    <w:rsid w:val="00CF1331"/>
    <w:rsid w:val="00D61FA2"/>
    <w:rsid w:val="00DD799C"/>
    <w:rsid w:val="00DF2BF0"/>
    <w:rsid w:val="00E01317"/>
    <w:rsid w:val="00E737A4"/>
    <w:rsid w:val="00EA0BD0"/>
    <w:rsid w:val="00EA33B3"/>
    <w:rsid w:val="00EC02ED"/>
    <w:rsid w:val="00EF32DE"/>
    <w:rsid w:val="00F3443D"/>
    <w:rsid w:val="00F34FD3"/>
    <w:rsid w:val="00F5673E"/>
    <w:rsid w:val="00F71B71"/>
    <w:rsid w:val="00F95931"/>
    <w:rsid w:val="00F95F15"/>
    <w:rsid w:val="00FD1FE0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paragraph" w:styleId="Zkladntext">
    <w:name w:val="Body Text"/>
    <w:basedOn w:val="Normln"/>
    <w:link w:val="ZkladntextChar"/>
    <w:rsid w:val="00D61FA2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1FA2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styleId="Nzev">
    <w:name w:val="Title"/>
    <w:basedOn w:val="Normln"/>
    <w:link w:val="NzevChar"/>
    <w:qFormat/>
    <w:rsid w:val="00D6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61FA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C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9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  <w:style w:type="paragraph" w:styleId="Zkladntext">
    <w:name w:val="Body Text"/>
    <w:basedOn w:val="Normln"/>
    <w:link w:val="ZkladntextChar"/>
    <w:rsid w:val="00D61FA2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pacing w:before="120" w:after="0" w:line="240" w:lineRule="auto"/>
      <w:ind w:right="142"/>
      <w:jc w:val="both"/>
    </w:pPr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61FA2"/>
    <w:rPr>
      <w:rFonts w:ascii="Times New Roman" w:eastAsia="Times New Roman" w:hAnsi="Times New Roman" w:cs="Times New Roman"/>
      <w:bCs/>
      <w:iCs/>
      <w:snapToGrid w:val="0"/>
      <w:szCs w:val="24"/>
      <w:lang w:eastAsia="cs-CZ"/>
    </w:rPr>
  </w:style>
  <w:style w:type="paragraph" w:styleId="Nzev">
    <w:name w:val="Title"/>
    <w:basedOn w:val="Normln"/>
    <w:link w:val="NzevChar"/>
    <w:qFormat/>
    <w:rsid w:val="00D6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61FA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C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9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/" TargetMode="External"/><Relationship Id="rId13" Type="http://schemas.openxmlformats.org/officeDocument/2006/relationships/hyperlink" Target="mailto:pwroblowsky@ostrava.cz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wroblowsky@ostrava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ostrava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navratil@ostrav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strava.cz/" TargetMode="External"/><Relationship Id="rId10" Type="http://schemas.openxmlformats.org/officeDocument/2006/relationships/hyperlink" Target="http://www.ostrava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trava.cz/" TargetMode="External"/><Relationship Id="rId14" Type="http://schemas.openxmlformats.org/officeDocument/2006/relationships/hyperlink" Target="http://www.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2830</Words>
  <Characters>16699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Šimoňáková Pavla</dc:creator>
  <cp:lastModifiedBy>Kolarčíková Dagmar</cp:lastModifiedBy>
  <cp:revision>13</cp:revision>
  <cp:lastPrinted>2016-10-19T12:08:00Z</cp:lastPrinted>
  <dcterms:created xsi:type="dcterms:W3CDTF">2016-07-28T10:13:00Z</dcterms:created>
  <dcterms:modified xsi:type="dcterms:W3CDTF">2016-10-19T12:34:00Z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108093266</vt:i4>
  </property>
</Properties>
</file>