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06" w:rsidRPr="000D6FE6" w:rsidRDefault="00476A06" w:rsidP="00476A06">
      <w:pPr>
        <w:pStyle w:val="Nadpis1"/>
        <w:jc w:val="right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/>
          <w:noProof/>
          <w:color w:val="002060"/>
          <w:lang w:val="cs-CZ" w:eastAsia="cs-CZ"/>
        </w:rPr>
        <w:drawing>
          <wp:inline distT="0" distB="0" distL="0" distR="0" wp14:anchorId="7B5BDB80" wp14:editId="0E00ABCC">
            <wp:extent cx="3139975" cy="659218"/>
            <wp:effectExtent l="0" t="0" r="3810" b="7620"/>
            <wp:docPr id="1" name="Obrázek 1" descr="banner_2b_bare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2b_barev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11" cy="6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06" w:rsidRDefault="002544C3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13</w:t>
      </w:r>
      <w:bookmarkStart w:id="0" w:name="_GoBack"/>
      <w:bookmarkEnd w:id="0"/>
      <w:r w:rsidR="00C6541B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 xml:space="preserve">. </w:t>
      </w:r>
      <w:r w:rsidR="00633AE4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4</w:t>
      </w:r>
      <w:r w:rsidR="00476A06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. 201</w:t>
      </w:r>
      <w:r w:rsidR="00C80DE0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5</w:t>
      </w:r>
    </w:p>
    <w:p w:rsidR="00476A06" w:rsidRPr="000D6FE6" w:rsidRDefault="00476A06" w:rsidP="00476A06">
      <w:pPr>
        <w:pStyle w:val="Nadpis1"/>
        <w:spacing w:before="240"/>
        <w:jc w:val="both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 w:cs="Arial"/>
          <w:color w:val="00B0F0"/>
          <w:sz w:val="28"/>
          <w:szCs w:val="28"/>
        </w:rPr>
        <w:t xml:space="preserve">Cestovní ruch – </w:t>
      </w:r>
      <w:r w:rsidR="00C80DE0">
        <w:rPr>
          <w:rFonts w:ascii="Arial" w:hAnsi="Arial" w:cs="Arial"/>
          <w:color w:val="00B0F0"/>
          <w:sz w:val="28"/>
          <w:szCs w:val="28"/>
          <w:lang w:val="cs-CZ"/>
        </w:rPr>
        <w:t>4</w:t>
      </w:r>
      <w:r w:rsidRPr="000D6FE6">
        <w:rPr>
          <w:rFonts w:ascii="Arial" w:hAnsi="Arial" w:cs="Arial"/>
          <w:color w:val="00B0F0"/>
          <w:sz w:val="28"/>
          <w:szCs w:val="28"/>
        </w:rPr>
        <w:t>. čtvrtletí 201</w:t>
      </w:r>
      <w:r w:rsidR="00C6541B" w:rsidRPr="000D6FE6">
        <w:rPr>
          <w:rFonts w:ascii="Arial" w:hAnsi="Arial" w:cs="Arial"/>
          <w:color w:val="00B0F0"/>
          <w:sz w:val="28"/>
          <w:szCs w:val="28"/>
          <w:lang w:val="cs-CZ"/>
        </w:rPr>
        <w:t>4</w:t>
      </w:r>
      <w:r w:rsidRPr="000D6FE6">
        <w:rPr>
          <w:rStyle w:val="Znakapoznpodarou"/>
          <w:rFonts w:ascii="Arial" w:hAnsi="Arial" w:cs="Arial"/>
          <w:color w:val="00B0F0"/>
          <w:sz w:val="28"/>
          <w:szCs w:val="28"/>
        </w:rPr>
        <w:footnoteReference w:id="1"/>
      </w:r>
    </w:p>
    <w:p w:rsidR="00333F75" w:rsidRDefault="00C22A9F" w:rsidP="004235C2">
      <w:pPr>
        <w:pStyle w:val="Normlnweb"/>
        <w:jc w:val="both"/>
        <w:rPr>
          <w:rFonts w:ascii="Arial" w:hAnsi="Arial" w:cs="Arial"/>
          <w:color w:val="003366"/>
          <w:sz w:val="20"/>
          <w:szCs w:val="20"/>
        </w:rPr>
      </w:pPr>
      <w:r w:rsidRPr="00F30EBC">
        <w:rPr>
          <w:rFonts w:ascii="Arial" w:hAnsi="Arial" w:cs="Arial"/>
          <w:color w:val="003366"/>
          <w:sz w:val="20"/>
          <w:szCs w:val="20"/>
        </w:rPr>
        <w:t xml:space="preserve">Dle údajů Českého statistického úřadu </w:t>
      </w:r>
      <w:r w:rsidR="00876A8E">
        <w:rPr>
          <w:rFonts w:ascii="Arial" w:hAnsi="Arial" w:cs="Arial"/>
          <w:color w:val="003366"/>
          <w:sz w:val="20"/>
          <w:szCs w:val="20"/>
        </w:rPr>
        <w:t>se p</w:t>
      </w:r>
      <w:r w:rsidR="00876A8E" w:rsidRPr="00876A8E">
        <w:rPr>
          <w:rFonts w:ascii="Arial" w:hAnsi="Arial" w:cs="Arial"/>
          <w:color w:val="003366"/>
          <w:sz w:val="20"/>
          <w:szCs w:val="20"/>
        </w:rPr>
        <w:t>očet přenocování hostů v hromadných ubytovacích zařízeních ve 4. čtvrtletí 2014 meziročně zvýšil o 2,8 %, v tom domácích návštěvníků o 5,3 % a zahraničních o 1,2 %. Celkově v tomto období přijelo o 3,1 % více hostů, zahraničních o 4,9 % a domácích o 0,8 %. Za celý rok 2014 hromadná ubytovací zařízení vykázala 0,4% snížení počtu přenocování, počet hostů se meziročně zvýšil o 1,5 %.</w:t>
      </w:r>
    </w:p>
    <w:p w:rsidR="005C102B" w:rsidRDefault="00F52844" w:rsidP="004235C2">
      <w:pPr>
        <w:pStyle w:val="Normlnweb"/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C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>elkově do České republiky přijel</w:t>
      </w:r>
      <w:r w:rsidR="00FD3A25">
        <w:rPr>
          <w:rFonts w:ascii="Arial" w:hAnsi="Arial" w:cs="Arial"/>
          <w:color w:val="003366"/>
          <w:sz w:val="20"/>
          <w:szCs w:val="20"/>
        </w:rPr>
        <w:t>o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 xml:space="preserve"> </w:t>
      </w:r>
      <w:r w:rsidR="004C4693">
        <w:rPr>
          <w:rFonts w:ascii="Arial" w:hAnsi="Arial" w:cs="Arial"/>
          <w:color w:val="003366"/>
          <w:sz w:val="20"/>
          <w:szCs w:val="20"/>
        </w:rPr>
        <w:t>3,3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 xml:space="preserve"> milionu hostů</w:t>
      </w:r>
      <w:r w:rsidR="004C4693">
        <w:rPr>
          <w:rFonts w:ascii="Arial" w:hAnsi="Arial" w:cs="Arial"/>
          <w:color w:val="003366"/>
          <w:sz w:val="20"/>
          <w:szCs w:val="20"/>
        </w:rPr>
        <w:t>, což meziročně představovalo zvýšení o 3,1%</w:t>
      </w:r>
      <w:r w:rsidR="00C74308">
        <w:rPr>
          <w:rFonts w:ascii="Arial" w:hAnsi="Arial" w:cs="Arial"/>
          <w:color w:val="003366"/>
          <w:sz w:val="20"/>
          <w:szCs w:val="20"/>
        </w:rPr>
        <w:t>.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 xml:space="preserve"> </w:t>
      </w:r>
      <w:r w:rsidR="00C22A9F" w:rsidRPr="00F30EBC">
        <w:rPr>
          <w:rFonts w:ascii="Arial" w:hAnsi="Arial" w:cs="Arial"/>
          <w:color w:val="003366"/>
          <w:sz w:val="20"/>
          <w:szCs w:val="20"/>
        </w:rPr>
        <w:t xml:space="preserve">Nejvíce </w:t>
      </w:r>
      <w:r w:rsidR="00C22A9F" w:rsidRPr="0022476B">
        <w:rPr>
          <w:rFonts w:ascii="Arial" w:hAnsi="Arial" w:cs="Arial"/>
          <w:color w:val="003366"/>
          <w:sz w:val="20"/>
          <w:szCs w:val="20"/>
        </w:rPr>
        <w:t>zahraničních</w:t>
      </w:r>
      <w:r w:rsidR="00C22A9F" w:rsidRPr="00F30EBC">
        <w:rPr>
          <w:rFonts w:ascii="Arial" w:hAnsi="Arial" w:cs="Arial"/>
          <w:color w:val="003366"/>
          <w:sz w:val="20"/>
          <w:szCs w:val="20"/>
        </w:rPr>
        <w:t xml:space="preserve"> hostů přijelo z Německa, Ruska</w:t>
      </w:r>
      <w:r w:rsidR="004C4693">
        <w:rPr>
          <w:rFonts w:ascii="Arial" w:hAnsi="Arial" w:cs="Arial"/>
          <w:color w:val="003366"/>
          <w:sz w:val="20"/>
          <w:szCs w:val="20"/>
        </w:rPr>
        <w:t>, Slovenska, Spojeného království</w:t>
      </w:r>
      <w:r w:rsidR="00C22A9F" w:rsidRPr="00F30EBC">
        <w:rPr>
          <w:rFonts w:ascii="Arial" w:hAnsi="Arial" w:cs="Arial"/>
          <w:color w:val="003366"/>
          <w:sz w:val="20"/>
          <w:szCs w:val="20"/>
        </w:rPr>
        <w:t xml:space="preserve"> a </w:t>
      </w:r>
      <w:r w:rsidR="003D3898">
        <w:rPr>
          <w:rFonts w:ascii="Arial" w:hAnsi="Arial" w:cs="Arial"/>
          <w:color w:val="003366"/>
          <w:sz w:val="20"/>
          <w:szCs w:val="20"/>
        </w:rPr>
        <w:t>USA</w:t>
      </w:r>
      <w:r w:rsidR="00C22A9F" w:rsidRPr="00F30EBC">
        <w:rPr>
          <w:rFonts w:ascii="Arial" w:hAnsi="Arial" w:cs="Arial"/>
          <w:color w:val="003366"/>
          <w:sz w:val="20"/>
          <w:szCs w:val="20"/>
        </w:rPr>
        <w:t xml:space="preserve">. </w:t>
      </w:r>
      <w:r w:rsidR="004C4693">
        <w:rPr>
          <w:rFonts w:ascii="Arial" w:hAnsi="Arial" w:cs="Arial"/>
          <w:color w:val="003366"/>
          <w:sz w:val="20"/>
          <w:szCs w:val="20"/>
        </w:rPr>
        <w:t>Za povšimnutí stojí 21,8</w:t>
      </w:r>
      <w:r w:rsidR="00E80E5D">
        <w:rPr>
          <w:rFonts w:ascii="Arial" w:hAnsi="Arial" w:cs="Arial"/>
          <w:color w:val="003366"/>
          <w:sz w:val="20"/>
          <w:szCs w:val="20"/>
        </w:rPr>
        <w:t xml:space="preserve"> </w:t>
      </w:r>
      <w:r w:rsidR="003D3898" w:rsidRPr="003D3898">
        <w:rPr>
          <w:rFonts w:ascii="Arial" w:hAnsi="Arial" w:cs="Arial"/>
          <w:color w:val="003366"/>
          <w:sz w:val="20"/>
          <w:szCs w:val="20"/>
        </w:rPr>
        <w:t>% nárůst příjezdů z Číny.</w:t>
      </w:r>
      <w:r w:rsidR="005C102B">
        <w:rPr>
          <w:rFonts w:ascii="Arial" w:hAnsi="Arial" w:cs="Arial"/>
          <w:color w:val="003366"/>
          <w:sz w:val="20"/>
          <w:szCs w:val="20"/>
        </w:rPr>
        <w:t xml:space="preserve"> </w:t>
      </w:r>
    </w:p>
    <w:p w:rsidR="00A5769B" w:rsidRPr="0022476B" w:rsidRDefault="00A5769B" w:rsidP="00423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22476B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Moravskoslezskému kraji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F52844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e </w:t>
      </w:r>
      <w:r w:rsidR="00A90BAC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čtvrté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m čtvrtletí turistů</w:t>
      </w:r>
      <w:r w:rsidR="004F342F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přibylo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</w:t>
      </w:r>
      <w:r w:rsidR="00F52844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Celkem 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jich</w:t>
      </w:r>
      <w:r w:rsidR="00F52844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přijelo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4F342F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155 725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,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což je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meziročně o </w:t>
      </w:r>
      <w:r w:rsidR="004F342F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6,6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A61AA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%</w:t>
      </w:r>
      <w:r w:rsidR="004F342F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více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Přibylo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35194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jak 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tuzemských hostů</w:t>
      </w:r>
      <w:r w:rsidR="007A7BD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35194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tak </w:t>
      </w:r>
      <w:r w:rsidR="007A7BD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i 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turistů z</w:t>
      </w:r>
      <w:r w:rsidR="0035194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 zahraničí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</w:p>
    <w:p w:rsidR="00A5769B" w:rsidRDefault="00A5769B" w:rsidP="00423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Tuzemských turistů přijelo ve </w:t>
      </w:r>
      <w:r w:rsidR="00A90BAC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čtvrté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m čtvrtletí do Moravskoslezského kraje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115 771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, </w:t>
      </w:r>
      <w:r w:rsidR="0035194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tedy 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o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4,5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A61AA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%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více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než ve stejném období loňského roku. Cizinců navštívilo kraj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39 954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, což oproti předchozímu roku představuje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nárůst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22476B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13,2</w:t>
      </w:r>
      <w:r w:rsidR="00A61AA0"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%</w:t>
      </w:r>
      <w:r w:rsidRPr="0022476B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</w:p>
    <w:p w:rsidR="00556A45" w:rsidRDefault="00556A45" w:rsidP="00423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</w:p>
    <w:tbl>
      <w:tblPr>
        <w:tblW w:w="9099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1737"/>
        <w:gridCol w:w="1870"/>
        <w:gridCol w:w="2005"/>
        <w:gridCol w:w="1736"/>
      </w:tblGrid>
      <w:tr w:rsidR="00556A45" w:rsidRPr="00735F4C" w:rsidTr="000D2B4C">
        <w:trPr>
          <w:trHeight w:val="304"/>
        </w:trPr>
        <w:tc>
          <w:tcPr>
            <w:tcW w:w="1751" w:type="dxa"/>
            <w:shd w:val="clear" w:color="auto" w:fill="002060"/>
            <w:noWrap/>
            <w:vAlign w:val="center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MSK</w:t>
            </w:r>
          </w:p>
        </w:tc>
        <w:tc>
          <w:tcPr>
            <w:tcW w:w="1737" w:type="dxa"/>
            <w:shd w:val="clear" w:color="auto" w:fill="002060"/>
            <w:noWrap/>
            <w:vAlign w:val="center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Hosté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1870" w:type="dxa"/>
            <w:shd w:val="clear" w:color="auto" w:fill="002060"/>
            <w:noWrap/>
            <w:vAlign w:val="bottom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celkem</w:t>
            </w:r>
          </w:p>
        </w:tc>
        <w:tc>
          <w:tcPr>
            <w:tcW w:w="2005" w:type="dxa"/>
            <w:shd w:val="clear" w:color="auto" w:fill="002060"/>
            <w:vAlign w:val="center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736" w:type="dxa"/>
            <w:shd w:val="clear" w:color="auto" w:fill="002060"/>
            <w:vAlign w:val="bottom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</w:rPr>
              <w:t>zahr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color w:val="FFFFFF"/>
              </w:rPr>
              <w:t>hostů</w:t>
            </w:r>
            <w:proofErr w:type="gramEnd"/>
          </w:p>
        </w:tc>
      </w:tr>
      <w:tr w:rsidR="00556A45" w:rsidRPr="00735F4C" w:rsidTr="000D2B4C">
        <w:trPr>
          <w:trHeight w:val="304"/>
        </w:trPr>
        <w:tc>
          <w:tcPr>
            <w:tcW w:w="1751" w:type="dxa"/>
            <w:shd w:val="clear" w:color="auto" w:fill="00B0F0"/>
            <w:noWrap/>
            <w:vAlign w:val="bottom"/>
          </w:tcPr>
          <w:p w:rsidR="00556A45" w:rsidRPr="00735F4C" w:rsidRDefault="00556A45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 čtvrtletí 2013</w:t>
            </w:r>
          </w:p>
        </w:tc>
        <w:tc>
          <w:tcPr>
            <w:tcW w:w="1737" w:type="dxa"/>
            <w:shd w:val="clear" w:color="auto" w:fill="00B0F0"/>
            <w:noWrap/>
            <w:vAlign w:val="bottom"/>
          </w:tcPr>
          <w:p w:rsidR="00556A45" w:rsidRPr="00735F4C" w:rsidRDefault="000D2B4C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146 115</w:t>
            </w:r>
          </w:p>
        </w:tc>
        <w:tc>
          <w:tcPr>
            <w:tcW w:w="1870" w:type="dxa"/>
            <w:shd w:val="clear" w:color="auto" w:fill="00B0F0"/>
            <w:noWrap/>
            <w:vAlign w:val="bottom"/>
          </w:tcPr>
          <w:p w:rsidR="00556A45" w:rsidRPr="00735F4C" w:rsidRDefault="000D2B4C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380 027</w:t>
            </w:r>
          </w:p>
        </w:tc>
        <w:tc>
          <w:tcPr>
            <w:tcW w:w="2005" w:type="dxa"/>
            <w:shd w:val="clear" w:color="auto" w:fill="00B0F0"/>
            <w:vAlign w:val="bottom"/>
          </w:tcPr>
          <w:p w:rsidR="00556A45" w:rsidRPr="00735F4C" w:rsidRDefault="000D2B4C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35 302</w:t>
            </w:r>
          </w:p>
        </w:tc>
        <w:tc>
          <w:tcPr>
            <w:tcW w:w="1736" w:type="dxa"/>
            <w:shd w:val="clear" w:color="auto" w:fill="00B0F0"/>
            <w:vAlign w:val="bottom"/>
          </w:tcPr>
          <w:p w:rsidR="00556A45" w:rsidRPr="00735F4C" w:rsidRDefault="000D2B4C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100 299</w:t>
            </w:r>
          </w:p>
        </w:tc>
      </w:tr>
      <w:tr w:rsidR="00556A45" w:rsidRPr="00735F4C" w:rsidTr="000D2B4C">
        <w:trPr>
          <w:trHeight w:val="304"/>
        </w:trPr>
        <w:tc>
          <w:tcPr>
            <w:tcW w:w="1751" w:type="dxa"/>
            <w:shd w:val="clear" w:color="auto" w:fill="002060"/>
            <w:noWrap/>
            <w:vAlign w:val="bottom"/>
          </w:tcPr>
          <w:p w:rsidR="00556A45" w:rsidRPr="00735F4C" w:rsidRDefault="00556A45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 čtvrtletí 2014</w:t>
            </w:r>
          </w:p>
        </w:tc>
        <w:tc>
          <w:tcPr>
            <w:tcW w:w="1737" w:type="dxa"/>
            <w:shd w:val="clear" w:color="auto" w:fill="002060"/>
            <w:noWrap/>
            <w:vAlign w:val="bottom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155 725</w:t>
            </w:r>
          </w:p>
        </w:tc>
        <w:tc>
          <w:tcPr>
            <w:tcW w:w="1870" w:type="dxa"/>
            <w:shd w:val="clear" w:color="auto" w:fill="002060"/>
            <w:noWrap/>
            <w:vAlign w:val="bottom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402 936</w:t>
            </w:r>
          </w:p>
        </w:tc>
        <w:tc>
          <w:tcPr>
            <w:tcW w:w="2005" w:type="dxa"/>
            <w:shd w:val="clear" w:color="auto" w:fill="002060"/>
            <w:vAlign w:val="bottom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39 954</w:t>
            </w:r>
          </w:p>
        </w:tc>
        <w:tc>
          <w:tcPr>
            <w:tcW w:w="1736" w:type="dxa"/>
            <w:shd w:val="clear" w:color="auto" w:fill="002060"/>
            <w:vAlign w:val="bottom"/>
          </w:tcPr>
          <w:p w:rsidR="00556A45" w:rsidRPr="00735F4C" w:rsidRDefault="00556A45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92 139</w:t>
            </w:r>
          </w:p>
        </w:tc>
      </w:tr>
    </w:tbl>
    <w:p w:rsidR="00556A45" w:rsidRPr="00E35DB3" w:rsidRDefault="000D2B4C" w:rsidP="000D2B4C">
      <w:pPr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E35DB3">
        <w:rPr>
          <w:rFonts w:ascii="Arial" w:hAnsi="Arial" w:cs="Arial"/>
          <w:color w:val="003366"/>
          <w:sz w:val="18"/>
          <w:szCs w:val="18"/>
        </w:rPr>
        <w:t>Tab. 1: Celkový počet hostů a přenocování v MSK: 4. čtvrtletí 2013/2014</w:t>
      </w:r>
    </w:p>
    <w:p w:rsidR="00460471" w:rsidRPr="000D2B4C" w:rsidRDefault="00F945EF" w:rsidP="004235C2">
      <w:pPr>
        <w:spacing w:before="24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Hostů hromadných ubytovacích zařízení</w:t>
      </w:r>
      <w:r w:rsidR="007617E4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7617E4" w:rsidRPr="00DB2711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turistické oblasti Ostravsko</w:t>
      </w:r>
      <w:r w:rsidR="007617E4" w:rsidRPr="007934AC">
        <w:rPr>
          <w:color w:val="003366"/>
          <w:vertAlign w:val="superscript"/>
        </w:rPr>
        <w:footnoteReference w:id="2"/>
      </w:r>
      <w:r w:rsidR="007617E4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ve </w:t>
      </w:r>
      <w:r w:rsidR="00A90BA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4</w:t>
      </w:r>
      <w:r w:rsidR="007617E4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čtvrtletí roku </w:t>
      </w:r>
      <w:r w:rsidR="00322DED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2014 </w:t>
      </w:r>
      <w:r w:rsidR="00322DED">
        <w:rPr>
          <w:rFonts w:ascii="Arial" w:eastAsia="Times New Roman" w:hAnsi="Arial" w:cs="Arial"/>
          <w:color w:val="003366"/>
          <w:sz w:val="20"/>
          <w:szCs w:val="20"/>
          <w:lang w:eastAsia="cs-CZ"/>
        </w:rPr>
        <w:br/>
        <w:t>v meziročním</w:t>
      </w:r>
      <w:r w:rsidR="0060039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srovnání </w:t>
      </w:r>
      <w:r w:rsidR="00F352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výrazně </w:t>
      </w:r>
      <w:r w:rsid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při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bylo</w:t>
      </w:r>
      <w:r w:rsidR="0060039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, celkově na Ostravsko přijelo </w:t>
      </w:r>
      <w:r w:rsidR="004B001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50</w:t>
      </w:r>
      <w:r w:rsidR="0060039A" w:rsidRPr="00DD4734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</w:t>
      </w:r>
      <w:r w:rsidR="004B001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623</w:t>
      </w:r>
      <w:r w:rsidR="0060039A" w:rsidRP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turistů</w:t>
      </w:r>
      <w:r w:rsidR="00DB2711" w:rsidRP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což je o</w:t>
      </w:r>
      <w:r w:rsidR="00DB2711" w:rsidRPr="00DD4734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="004B001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4 459</w:t>
      </w:r>
      <w:r w:rsidR="00F3525D" w:rsidRPr="00F352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DB2711" w:rsidRPr="00F352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turistů </w:t>
      </w:r>
      <w:r w:rsidR="00442FFF" w:rsidRPr="00F352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více</w:t>
      </w:r>
      <w:r w:rsidR="00322DE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než ve stejném období předchozího roku</w:t>
      </w:r>
      <w:r w:rsidR="0060039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</w:t>
      </w:r>
      <w:r w:rsidR="00F900B7" w:rsidRPr="00E527C8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</w:t>
      </w:r>
      <w:r w:rsidR="0025200A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ejpočetnějšími skupinami zahraničních hostů byli již tradičně návštěvníci z</w:t>
      </w:r>
      <w:r w:rsid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9C7B3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Slovenska</w:t>
      </w:r>
      <w:r w:rsid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Polska</w:t>
      </w:r>
      <w:r w:rsidR="009C7B3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a Německa. V hojném počtu navštívili </w:t>
      </w:r>
      <w:r w:rsidR="00713B8F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danou 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turistickou oblast také návštěvníci z </w:t>
      </w:r>
      <w:r w:rsid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Itálie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a </w:t>
      </w:r>
      <w:r w:rsidR="00442FF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Litvy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  <w:r w:rsidR="000F0092" w:rsidRPr="0041599D" w:rsidDel="000F0092">
        <w:rPr>
          <w:color w:val="003366"/>
          <w:vertAlign w:val="superscript"/>
        </w:rPr>
        <w:t xml:space="preserve"> </w:t>
      </w:r>
      <w:r w:rsidR="004C3E13">
        <w:rPr>
          <w:color w:val="003366"/>
          <w:vertAlign w:val="superscript"/>
        </w:rPr>
        <w:t xml:space="preserve">  </w:t>
      </w:r>
    </w:p>
    <w:tbl>
      <w:tblPr>
        <w:tblW w:w="9118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1741"/>
        <w:gridCol w:w="1874"/>
        <w:gridCol w:w="2009"/>
        <w:gridCol w:w="1740"/>
      </w:tblGrid>
      <w:tr w:rsidR="00F76E0F" w:rsidRPr="000D6FE6" w:rsidTr="000D2B4C">
        <w:trPr>
          <w:trHeight w:val="267"/>
        </w:trPr>
        <w:tc>
          <w:tcPr>
            <w:tcW w:w="1754" w:type="dxa"/>
            <w:shd w:val="clear" w:color="auto" w:fill="002060"/>
            <w:noWrap/>
            <w:vAlign w:val="center"/>
          </w:tcPr>
          <w:p w:rsidR="00F76E0F" w:rsidRPr="000D6FE6" w:rsidRDefault="00F76E0F" w:rsidP="00E35DB3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741" w:type="dxa"/>
            <w:shd w:val="clear" w:color="auto" w:fill="002060"/>
            <w:noWrap/>
            <w:vAlign w:val="center"/>
          </w:tcPr>
          <w:p w:rsidR="00F76E0F" w:rsidRPr="000D6FE6" w:rsidRDefault="00F76E0F" w:rsidP="00E35DB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Hosté celkově</w:t>
            </w:r>
          </w:p>
        </w:tc>
        <w:tc>
          <w:tcPr>
            <w:tcW w:w="1874" w:type="dxa"/>
            <w:shd w:val="clear" w:color="auto" w:fill="002060"/>
            <w:noWrap/>
            <w:vAlign w:val="bottom"/>
          </w:tcPr>
          <w:p w:rsidR="00F76E0F" w:rsidRPr="000D6FE6" w:rsidRDefault="00F76E0F" w:rsidP="00E35DB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celkově</w:t>
            </w:r>
          </w:p>
        </w:tc>
        <w:tc>
          <w:tcPr>
            <w:tcW w:w="2009" w:type="dxa"/>
            <w:shd w:val="clear" w:color="auto" w:fill="002060"/>
            <w:vAlign w:val="center"/>
          </w:tcPr>
          <w:p w:rsidR="00F76E0F" w:rsidRPr="000D6FE6" w:rsidRDefault="00F76E0F" w:rsidP="00E35DB3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740" w:type="dxa"/>
            <w:shd w:val="clear" w:color="auto" w:fill="002060"/>
            <w:vAlign w:val="bottom"/>
          </w:tcPr>
          <w:p w:rsidR="00F76E0F" w:rsidRPr="000D6FE6" w:rsidRDefault="00F76E0F" w:rsidP="00E35DB3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 xml:space="preserve">Přenocování </w:t>
            </w:r>
            <w:proofErr w:type="spellStart"/>
            <w:r w:rsidRPr="000D6FE6">
              <w:rPr>
                <w:rFonts w:ascii="Arial" w:hAnsi="Arial" w:cs="Arial"/>
                <w:b/>
                <w:color w:val="FFFFFF"/>
              </w:rPr>
              <w:t>zahr</w:t>
            </w:r>
            <w:proofErr w:type="spellEnd"/>
            <w:r w:rsidRPr="000D6FE6">
              <w:rPr>
                <w:rFonts w:ascii="Arial" w:hAnsi="Arial" w:cs="Arial"/>
                <w:b/>
                <w:color w:val="FFFFFF"/>
              </w:rPr>
              <w:t xml:space="preserve">. </w:t>
            </w:r>
            <w:proofErr w:type="gramStart"/>
            <w:r w:rsidRPr="000D6FE6">
              <w:rPr>
                <w:rFonts w:ascii="Arial" w:hAnsi="Arial" w:cs="Arial"/>
                <w:b/>
                <w:color w:val="FFFFFF"/>
              </w:rPr>
              <w:t>hostů</w:t>
            </w:r>
            <w:proofErr w:type="gramEnd"/>
          </w:p>
        </w:tc>
      </w:tr>
      <w:tr w:rsidR="00F76E0F" w:rsidRPr="00B55CFA" w:rsidTr="000D2B4C">
        <w:trPr>
          <w:trHeight w:val="267"/>
        </w:trPr>
        <w:tc>
          <w:tcPr>
            <w:tcW w:w="1754" w:type="dxa"/>
            <w:shd w:val="clear" w:color="auto" w:fill="00B0F0"/>
            <w:noWrap/>
            <w:vAlign w:val="bottom"/>
          </w:tcPr>
          <w:p w:rsidR="00F76E0F" w:rsidRPr="00B55CFA" w:rsidRDefault="00A01D60" w:rsidP="004235C2">
            <w:pPr>
              <w:spacing w:after="0"/>
              <w:jc w:val="both"/>
              <w:rPr>
                <w:rFonts w:ascii="Arial" w:hAnsi="Arial" w:cs="Arial"/>
                <w:b/>
                <w:color w:val="FF0000"/>
              </w:rPr>
            </w:pPr>
            <w:r w:rsidRPr="000C5081"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="00F76E0F" w:rsidRPr="000C5081">
              <w:rPr>
                <w:rFonts w:ascii="Arial" w:hAnsi="Arial" w:cs="Arial"/>
                <w:b/>
                <w:color w:val="FFFFFF" w:themeColor="background1"/>
              </w:rPr>
              <w:t>. čtvrtletí 2013</w:t>
            </w:r>
          </w:p>
        </w:tc>
        <w:tc>
          <w:tcPr>
            <w:tcW w:w="1741" w:type="dxa"/>
            <w:shd w:val="clear" w:color="auto" w:fill="00B0F0"/>
            <w:noWrap/>
            <w:vAlign w:val="bottom"/>
          </w:tcPr>
          <w:p w:rsidR="00F76E0F" w:rsidRPr="00592FB1" w:rsidRDefault="004A328E" w:rsidP="000C5081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46 164</w:t>
            </w:r>
          </w:p>
        </w:tc>
        <w:tc>
          <w:tcPr>
            <w:tcW w:w="1874" w:type="dxa"/>
            <w:shd w:val="clear" w:color="auto" w:fill="00B0F0"/>
            <w:noWrap/>
            <w:vAlign w:val="bottom"/>
          </w:tcPr>
          <w:p w:rsidR="00F76E0F" w:rsidRPr="00592FB1" w:rsidRDefault="004A328E" w:rsidP="000C5081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129 469</w:t>
            </w:r>
          </w:p>
        </w:tc>
        <w:tc>
          <w:tcPr>
            <w:tcW w:w="2009" w:type="dxa"/>
            <w:shd w:val="clear" w:color="auto" w:fill="00B0F0"/>
            <w:vAlign w:val="bottom"/>
          </w:tcPr>
          <w:p w:rsidR="00F76E0F" w:rsidRPr="00592FB1" w:rsidRDefault="004A328E" w:rsidP="000C5081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17 060</w:t>
            </w:r>
          </w:p>
        </w:tc>
        <w:tc>
          <w:tcPr>
            <w:tcW w:w="1740" w:type="dxa"/>
            <w:shd w:val="clear" w:color="auto" w:fill="00B0F0"/>
            <w:vAlign w:val="bottom"/>
          </w:tcPr>
          <w:p w:rsidR="00F76E0F" w:rsidRPr="00592FB1" w:rsidRDefault="004A328E" w:rsidP="000C5081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48 977</w:t>
            </w:r>
          </w:p>
        </w:tc>
      </w:tr>
      <w:tr w:rsidR="00F76E0F" w:rsidRPr="000D6FE6" w:rsidTr="000D2B4C">
        <w:trPr>
          <w:trHeight w:val="267"/>
        </w:trPr>
        <w:tc>
          <w:tcPr>
            <w:tcW w:w="1754" w:type="dxa"/>
            <w:shd w:val="clear" w:color="auto" w:fill="002060"/>
            <w:noWrap/>
            <w:vAlign w:val="bottom"/>
          </w:tcPr>
          <w:p w:rsidR="00F76E0F" w:rsidRPr="000D6FE6" w:rsidRDefault="00A01D60" w:rsidP="004235C2">
            <w:pPr>
              <w:spacing w:after="0"/>
              <w:jc w:val="both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="00F76E0F" w:rsidRPr="000D6FE6">
              <w:rPr>
                <w:rFonts w:ascii="Arial" w:hAnsi="Arial" w:cs="Arial"/>
                <w:b/>
                <w:color w:val="FFFFFF"/>
              </w:rPr>
              <w:t>. čtvrtletí 2014</w:t>
            </w:r>
          </w:p>
        </w:tc>
        <w:tc>
          <w:tcPr>
            <w:tcW w:w="1741" w:type="dxa"/>
            <w:shd w:val="clear" w:color="auto" w:fill="002060"/>
            <w:noWrap/>
            <w:vAlign w:val="bottom"/>
          </w:tcPr>
          <w:p w:rsidR="00F76E0F" w:rsidRPr="00442FFF" w:rsidRDefault="004A328E" w:rsidP="000C5081">
            <w:pPr>
              <w:spacing w:after="0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50 623</w:t>
            </w:r>
          </w:p>
        </w:tc>
        <w:tc>
          <w:tcPr>
            <w:tcW w:w="1874" w:type="dxa"/>
            <w:shd w:val="clear" w:color="auto" w:fill="002060"/>
            <w:noWrap/>
            <w:vAlign w:val="bottom"/>
          </w:tcPr>
          <w:p w:rsidR="00F76E0F" w:rsidRPr="00442FFF" w:rsidRDefault="004A328E" w:rsidP="000C5081">
            <w:pPr>
              <w:spacing w:after="0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116 703</w:t>
            </w:r>
          </w:p>
        </w:tc>
        <w:tc>
          <w:tcPr>
            <w:tcW w:w="2009" w:type="dxa"/>
            <w:shd w:val="clear" w:color="auto" w:fill="002060"/>
            <w:vAlign w:val="bottom"/>
          </w:tcPr>
          <w:p w:rsidR="00F76E0F" w:rsidRPr="00442FFF" w:rsidRDefault="004A328E" w:rsidP="000C5081">
            <w:pPr>
              <w:spacing w:after="0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21 332</w:t>
            </w:r>
          </w:p>
        </w:tc>
        <w:tc>
          <w:tcPr>
            <w:tcW w:w="1740" w:type="dxa"/>
            <w:shd w:val="clear" w:color="auto" w:fill="002060"/>
            <w:vAlign w:val="bottom"/>
          </w:tcPr>
          <w:p w:rsidR="00F76E0F" w:rsidRPr="00442FFF" w:rsidRDefault="004A328E" w:rsidP="000C5081">
            <w:pPr>
              <w:spacing w:after="0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42 100</w:t>
            </w:r>
          </w:p>
        </w:tc>
      </w:tr>
    </w:tbl>
    <w:p w:rsidR="00F76E0F" w:rsidRDefault="00F76E0F" w:rsidP="004235C2">
      <w:pPr>
        <w:jc w:val="both"/>
        <w:rPr>
          <w:rFonts w:ascii="Arial" w:hAnsi="Arial" w:cs="Arial"/>
          <w:color w:val="003366"/>
          <w:sz w:val="18"/>
          <w:szCs w:val="18"/>
        </w:rPr>
      </w:pPr>
      <w:r w:rsidRPr="00337C98">
        <w:rPr>
          <w:rFonts w:ascii="Arial" w:hAnsi="Arial" w:cs="Arial"/>
          <w:color w:val="003366"/>
          <w:sz w:val="18"/>
          <w:szCs w:val="18"/>
        </w:rPr>
        <w:t>Tab</w:t>
      </w:r>
      <w:r w:rsidR="000D2B4C" w:rsidRPr="00337C98">
        <w:rPr>
          <w:rFonts w:ascii="Arial" w:hAnsi="Arial" w:cs="Arial"/>
          <w:color w:val="003366"/>
          <w:sz w:val="18"/>
          <w:szCs w:val="18"/>
        </w:rPr>
        <w:t>. 2</w:t>
      </w:r>
      <w:r w:rsidRPr="00337C98">
        <w:rPr>
          <w:rFonts w:ascii="Arial" w:hAnsi="Arial" w:cs="Arial"/>
          <w:color w:val="003366"/>
          <w:sz w:val="18"/>
          <w:szCs w:val="18"/>
        </w:rPr>
        <w:t xml:space="preserve">: Celkový počet hostů a přenocování v TO Ostravsko: </w:t>
      </w:r>
      <w:r w:rsidR="00A01D60" w:rsidRPr="00337C98">
        <w:rPr>
          <w:rFonts w:ascii="Arial" w:hAnsi="Arial" w:cs="Arial"/>
          <w:color w:val="003366"/>
          <w:sz w:val="18"/>
          <w:szCs w:val="18"/>
        </w:rPr>
        <w:t>4</w:t>
      </w:r>
      <w:r w:rsidRPr="00337C98">
        <w:rPr>
          <w:rFonts w:ascii="Arial" w:hAnsi="Arial" w:cs="Arial"/>
          <w:color w:val="003366"/>
          <w:sz w:val="18"/>
          <w:szCs w:val="18"/>
        </w:rPr>
        <w:t>. čtvrtletí 2013/2014</w:t>
      </w:r>
      <w:r w:rsidR="004A328E">
        <w:rPr>
          <w:rFonts w:ascii="Arial" w:hAnsi="Arial" w:cs="Arial"/>
          <w:color w:val="003366"/>
          <w:sz w:val="18"/>
          <w:szCs w:val="18"/>
        </w:rPr>
        <w:t>, revidovaná data</w:t>
      </w:r>
    </w:p>
    <w:p w:rsidR="0085062F" w:rsidRDefault="00EE5612" w:rsidP="004235C2">
      <w:pPr>
        <w:jc w:val="both"/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  <w:t xml:space="preserve">Rok </w:t>
      </w:r>
      <w:r w:rsidR="0085062F" w:rsidRPr="0085062F"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  <w:t xml:space="preserve">2014 </w:t>
      </w:r>
      <w:r w:rsidR="00BD71B0"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  <w:t>–</w:t>
      </w:r>
      <w:r w:rsidR="0085062F" w:rsidRPr="0085062F"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  <w:t xml:space="preserve"> shrnutí</w:t>
      </w:r>
    </w:p>
    <w:p w:rsidR="00BD71B0" w:rsidRPr="00BD71B0" w:rsidRDefault="00BD71B0" w:rsidP="004235C2">
      <w:pPr>
        <w:jc w:val="both"/>
        <w:rPr>
          <w:rFonts w:ascii="Arial" w:eastAsia="Times New Roman" w:hAnsi="Arial" w:cs="Arial"/>
          <w:b/>
          <w:color w:val="003366"/>
          <w:sz w:val="24"/>
          <w:szCs w:val="24"/>
          <w:lang w:eastAsia="cs-CZ"/>
        </w:rPr>
      </w:pPr>
      <w:r w:rsidRPr="00BD71B0">
        <w:rPr>
          <w:rFonts w:ascii="Arial" w:eastAsia="Times New Roman" w:hAnsi="Arial" w:cs="Arial"/>
          <w:b/>
          <w:color w:val="003366"/>
          <w:sz w:val="24"/>
          <w:szCs w:val="24"/>
          <w:lang w:eastAsia="cs-CZ"/>
        </w:rPr>
        <w:t>… z dat Českého statistického úřadu</w:t>
      </w:r>
    </w:p>
    <w:p w:rsidR="0085062F" w:rsidRDefault="0085062F" w:rsidP="0085062F">
      <w:pPr>
        <w:jc w:val="both"/>
        <w:rPr>
          <w:rFonts w:ascii="Arial" w:hAnsi="Arial" w:cs="Arial"/>
          <w:color w:val="003366"/>
          <w:sz w:val="20"/>
          <w:szCs w:val="20"/>
        </w:rPr>
      </w:pPr>
      <w:r w:rsidRPr="0085062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 </w:t>
      </w:r>
      <w:r w:rsidRPr="0085062F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České republice</w:t>
      </w:r>
      <w:r w:rsidRPr="0085062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Pr="0085062F">
        <w:rPr>
          <w:rFonts w:ascii="Arial" w:hAnsi="Arial" w:cs="Arial"/>
          <w:color w:val="003366"/>
          <w:sz w:val="20"/>
          <w:szCs w:val="20"/>
        </w:rPr>
        <w:t xml:space="preserve">se zvýšil celkový </w:t>
      </w:r>
      <w:r w:rsidRPr="0085062F">
        <w:rPr>
          <w:rFonts w:ascii="Arial" w:hAnsi="Arial" w:cs="Arial"/>
          <w:bCs/>
          <w:color w:val="003366"/>
          <w:sz w:val="20"/>
          <w:szCs w:val="20"/>
        </w:rPr>
        <w:t>počet ubytovaných hostů</w:t>
      </w:r>
      <w:r w:rsidRPr="0085062F">
        <w:rPr>
          <w:rFonts w:ascii="Arial" w:hAnsi="Arial" w:cs="Arial"/>
          <w:color w:val="003366"/>
          <w:sz w:val="20"/>
          <w:szCs w:val="20"/>
        </w:rPr>
        <w:t xml:space="preserve"> o 1,5 %, </w:t>
      </w:r>
      <w:r w:rsidRPr="0085062F">
        <w:rPr>
          <w:rFonts w:ascii="Arial" w:hAnsi="Arial" w:cs="Arial"/>
          <w:bCs/>
          <w:color w:val="003366"/>
          <w:sz w:val="20"/>
          <w:szCs w:val="20"/>
        </w:rPr>
        <w:t>počet přenocování</w:t>
      </w:r>
      <w:r w:rsidRPr="0085062F">
        <w:rPr>
          <w:rFonts w:ascii="Arial" w:hAnsi="Arial" w:cs="Arial"/>
          <w:color w:val="003366"/>
          <w:sz w:val="20"/>
          <w:szCs w:val="20"/>
        </w:rPr>
        <w:t xml:space="preserve"> se snížil o 0,4 %. Zahraničních návštěvní</w:t>
      </w:r>
      <w:r w:rsidR="00EE5612">
        <w:rPr>
          <w:rFonts w:ascii="Arial" w:hAnsi="Arial" w:cs="Arial"/>
          <w:color w:val="003366"/>
          <w:sz w:val="20"/>
          <w:szCs w:val="20"/>
        </w:rPr>
        <w:t>ků přijelo o 3,5 % více a</w:t>
      </w:r>
      <w:r w:rsidRPr="0085062F">
        <w:rPr>
          <w:rFonts w:ascii="Arial" w:hAnsi="Arial" w:cs="Arial"/>
          <w:color w:val="003366"/>
          <w:sz w:val="20"/>
          <w:szCs w:val="20"/>
        </w:rPr>
        <w:t xml:space="preserve"> počet</w:t>
      </w:r>
      <w:r w:rsidR="00EE5612">
        <w:rPr>
          <w:rFonts w:ascii="Arial" w:hAnsi="Arial" w:cs="Arial"/>
          <w:color w:val="003366"/>
          <w:sz w:val="20"/>
          <w:szCs w:val="20"/>
        </w:rPr>
        <w:t xml:space="preserve"> jejich</w:t>
      </w:r>
      <w:r w:rsidRPr="0085062F">
        <w:rPr>
          <w:rFonts w:ascii="Arial" w:hAnsi="Arial" w:cs="Arial"/>
          <w:color w:val="003366"/>
          <w:sz w:val="20"/>
          <w:szCs w:val="20"/>
        </w:rPr>
        <w:t xml:space="preserve"> přenocování se zvýšil o 0,3 %. Domácích hostů v hromadných ubytovacích zařízeních ubylo o 0,5 % a také počet jejich přenocování klesl o 1,1 %. </w:t>
      </w:r>
    </w:p>
    <w:p w:rsidR="00EF30DA" w:rsidRDefault="00AF274F" w:rsidP="004235C2">
      <w:pPr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lastRenderedPageBreak/>
        <w:t>V </w:t>
      </w:r>
      <w:r w:rsidRPr="0085062F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turistické oblasti Ostravsko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patří mezi</w:t>
      </w:r>
      <w:r w:rsidR="0059093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návštěvníky k</w:t>
      </w:r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nejoblíbenější</w:t>
      </w:r>
      <w:r w:rsidR="0059093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m</w:t>
      </w:r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industriální památky, </w:t>
      </w:r>
      <w:r w:rsidR="0059093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kterými jsou</w:t>
      </w:r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Dolní Vítkovice, </w:t>
      </w:r>
      <w:proofErr w:type="spellStart"/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Landek</w:t>
      </w:r>
      <w:proofErr w:type="spellEnd"/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Park a Důl Michal. Dále jsou hodně navštěvovány Sanatoria Klimkovice, Vyhlídková věž Nové radnice, Slezskoostravský hrad, </w:t>
      </w:r>
      <w:proofErr w:type="spellStart"/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MiniUni</w:t>
      </w:r>
      <w:proofErr w:type="spellEnd"/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, Galerie výtvarného umění Ostrava a ZOO Ostrava. Dolní Vítkovice, </w:t>
      </w:r>
      <w:proofErr w:type="spellStart"/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Landek</w:t>
      </w:r>
      <w:proofErr w:type="spellEnd"/>
      <w:r w:rsidR="00EF30D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Park a ZOO Ostrava patří k nejnavštěvovanějším turistickým atraktivitám na území ČR.</w:t>
      </w:r>
      <w:r w:rsidR="0059093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Novým způsobem jak město propaguje cestovní ruch v TO Ostravsko je interaktivní hra Kód </w:t>
      </w:r>
      <w:proofErr w:type="spellStart"/>
      <w:r w:rsidR="0059093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Salomon</w:t>
      </w:r>
      <w:proofErr w:type="spellEnd"/>
      <w:r w:rsidR="0059093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která propojuje jednotlivé atraktivity formou pátrání po ztraceném talismanu.</w:t>
      </w:r>
      <w:r w:rsidR="0020558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</w:p>
    <w:p w:rsidR="0085062F" w:rsidRPr="009620F9" w:rsidRDefault="009620F9" w:rsidP="004235C2">
      <w:pPr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 roce 2014 se snížil počet přijíždějících hostů, ovšem počet zahraničních hostů se zvýšil o 8%, jak můžeme vidět v následující tabulce.</w:t>
      </w:r>
    </w:p>
    <w:tbl>
      <w:tblPr>
        <w:tblW w:w="9131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43"/>
        <w:gridCol w:w="1877"/>
        <w:gridCol w:w="2012"/>
        <w:gridCol w:w="1742"/>
      </w:tblGrid>
      <w:tr w:rsidR="000C5081" w:rsidRPr="00735F4C" w:rsidTr="00E35DB3">
        <w:trPr>
          <w:trHeight w:val="314"/>
        </w:trPr>
        <w:tc>
          <w:tcPr>
            <w:tcW w:w="1757" w:type="dxa"/>
            <w:shd w:val="clear" w:color="auto" w:fill="002060"/>
            <w:noWrap/>
            <w:vAlign w:val="center"/>
          </w:tcPr>
          <w:p w:rsidR="000C5081" w:rsidRPr="00735F4C" w:rsidRDefault="000C5081" w:rsidP="00E35DB3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743" w:type="dxa"/>
            <w:shd w:val="clear" w:color="auto" w:fill="002060"/>
            <w:noWrap/>
            <w:vAlign w:val="center"/>
          </w:tcPr>
          <w:p w:rsidR="000C5081" w:rsidRPr="00735F4C" w:rsidRDefault="000C5081" w:rsidP="00E35DB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Hosté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1877" w:type="dxa"/>
            <w:shd w:val="clear" w:color="auto" w:fill="002060"/>
            <w:noWrap/>
            <w:vAlign w:val="bottom"/>
          </w:tcPr>
          <w:p w:rsidR="000C5081" w:rsidRPr="00735F4C" w:rsidRDefault="000C5081" w:rsidP="00416C4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2012" w:type="dxa"/>
            <w:shd w:val="clear" w:color="auto" w:fill="002060"/>
            <w:vAlign w:val="center"/>
          </w:tcPr>
          <w:p w:rsidR="000C5081" w:rsidRPr="00735F4C" w:rsidRDefault="000C5081" w:rsidP="00E35DB3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742" w:type="dxa"/>
            <w:shd w:val="clear" w:color="auto" w:fill="002060"/>
            <w:vAlign w:val="bottom"/>
          </w:tcPr>
          <w:p w:rsidR="000C5081" w:rsidRPr="00735F4C" w:rsidRDefault="000C5081" w:rsidP="00416C4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</w:rPr>
              <w:t>zahr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color w:val="FFFFFF"/>
              </w:rPr>
              <w:t>hostů</w:t>
            </w:r>
            <w:proofErr w:type="gramEnd"/>
          </w:p>
        </w:tc>
      </w:tr>
      <w:tr w:rsidR="000C5081" w:rsidRPr="00735F4C" w:rsidTr="00E35DB3">
        <w:trPr>
          <w:trHeight w:val="314"/>
        </w:trPr>
        <w:tc>
          <w:tcPr>
            <w:tcW w:w="1757" w:type="dxa"/>
            <w:shd w:val="clear" w:color="auto" w:fill="00B0F0"/>
            <w:noWrap/>
            <w:vAlign w:val="bottom"/>
          </w:tcPr>
          <w:p w:rsidR="000C5081" w:rsidRPr="00735F4C" w:rsidRDefault="000C5081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2010</w:t>
            </w:r>
          </w:p>
        </w:tc>
        <w:tc>
          <w:tcPr>
            <w:tcW w:w="1743" w:type="dxa"/>
            <w:shd w:val="clear" w:color="auto" w:fill="00B0F0"/>
            <w:noWrap/>
            <w:vAlign w:val="bottom"/>
          </w:tcPr>
          <w:p w:rsidR="000C5081" w:rsidRPr="00563D04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150 667</w:t>
            </w:r>
          </w:p>
        </w:tc>
        <w:tc>
          <w:tcPr>
            <w:tcW w:w="1877" w:type="dxa"/>
            <w:shd w:val="clear" w:color="auto" w:fill="00B0F0"/>
            <w:noWrap/>
            <w:vAlign w:val="bottom"/>
          </w:tcPr>
          <w:p w:rsidR="000C5081" w:rsidRPr="00563D04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431 222</w:t>
            </w:r>
          </w:p>
        </w:tc>
        <w:tc>
          <w:tcPr>
            <w:tcW w:w="2012" w:type="dxa"/>
            <w:shd w:val="clear" w:color="auto" w:fill="00B0F0"/>
            <w:vAlign w:val="bottom"/>
          </w:tcPr>
          <w:p w:rsidR="000C5081" w:rsidRPr="00563D04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49 073</w:t>
            </w:r>
          </w:p>
        </w:tc>
        <w:tc>
          <w:tcPr>
            <w:tcW w:w="1742" w:type="dxa"/>
            <w:shd w:val="clear" w:color="auto" w:fill="00B0F0"/>
            <w:vAlign w:val="bottom"/>
          </w:tcPr>
          <w:p w:rsidR="000C5081" w:rsidRPr="00563D04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119 249</w:t>
            </w:r>
          </w:p>
        </w:tc>
      </w:tr>
      <w:tr w:rsidR="000C5081" w:rsidRPr="00735F4C" w:rsidTr="00337C98">
        <w:trPr>
          <w:trHeight w:val="314"/>
        </w:trPr>
        <w:tc>
          <w:tcPr>
            <w:tcW w:w="1757" w:type="dxa"/>
            <w:shd w:val="clear" w:color="auto" w:fill="002060"/>
            <w:noWrap/>
            <w:vAlign w:val="bottom"/>
          </w:tcPr>
          <w:p w:rsidR="000C5081" w:rsidRPr="00735F4C" w:rsidRDefault="000C5081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2011</w:t>
            </w:r>
          </w:p>
        </w:tc>
        <w:tc>
          <w:tcPr>
            <w:tcW w:w="1743" w:type="dxa"/>
            <w:shd w:val="clear" w:color="auto" w:fill="002060"/>
            <w:noWrap/>
            <w:vAlign w:val="bottom"/>
          </w:tcPr>
          <w:p w:rsidR="000C5081" w:rsidRPr="00735F4C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172 924</w:t>
            </w:r>
          </w:p>
        </w:tc>
        <w:tc>
          <w:tcPr>
            <w:tcW w:w="1877" w:type="dxa"/>
            <w:shd w:val="clear" w:color="auto" w:fill="002060"/>
            <w:noWrap/>
            <w:vAlign w:val="bottom"/>
          </w:tcPr>
          <w:p w:rsidR="000C5081" w:rsidRPr="00735F4C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484 846</w:t>
            </w:r>
          </w:p>
        </w:tc>
        <w:tc>
          <w:tcPr>
            <w:tcW w:w="2012" w:type="dxa"/>
            <w:shd w:val="clear" w:color="auto" w:fill="002060"/>
            <w:vAlign w:val="bottom"/>
          </w:tcPr>
          <w:p w:rsidR="000C5081" w:rsidRPr="00735F4C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58 826</w:t>
            </w:r>
          </w:p>
        </w:tc>
        <w:tc>
          <w:tcPr>
            <w:tcW w:w="1742" w:type="dxa"/>
            <w:shd w:val="clear" w:color="auto" w:fill="002060"/>
            <w:vAlign w:val="bottom"/>
          </w:tcPr>
          <w:p w:rsidR="000C5081" w:rsidRPr="00735F4C" w:rsidRDefault="000C5081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141 818</w:t>
            </w:r>
          </w:p>
        </w:tc>
      </w:tr>
      <w:tr w:rsidR="000C5081" w:rsidRPr="00563D04" w:rsidTr="00E35DB3">
        <w:trPr>
          <w:trHeight w:val="314"/>
        </w:trPr>
        <w:tc>
          <w:tcPr>
            <w:tcW w:w="175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bottom"/>
          </w:tcPr>
          <w:p w:rsidR="000C5081" w:rsidRPr="00735F4C" w:rsidRDefault="000C5081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2012</w:t>
            </w:r>
          </w:p>
        </w:tc>
        <w:tc>
          <w:tcPr>
            <w:tcW w:w="1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bottom"/>
          </w:tcPr>
          <w:p w:rsidR="000C5081" w:rsidRPr="00563D04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188 087</w:t>
            </w:r>
          </w:p>
        </w:tc>
        <w:tc>
          <w:tcPr>
            <w:tcW w:w="18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bottom"/>
          </w:tcPr>
          <w:p w:rsidR="000C5081" w:rsidRPr="00563D04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501 332</w:t>
            </w:r>
          </w:p>
        </w:tc>
        <w:tc>
          <w:tcPr>
            <w:tcW w:w="2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bottom"/>
          </w:tcPr>
          <w:p w:rsidR="000C5081" w:rsidRPr="00563D04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68 954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B0F0"/>
            <w:vAlign w:val="bottom"/>
          </w:tcPr>
          <w:p w:rsidR="000C5081" w:rsidRPr="00563D04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159 603</w:t>
            </w:r>
          </w:p>
        </w:tc>
      </w:tr>
      <w:tr w:rsidR="000C5081" w:rsidRPr="00563D04" w:rsidTr="00E35DB3">
        <w:trPr>
          <w:trHeight w:val="314"/>
        </w:trPr>
        <w:tc>
          <w:tcPr>
            <w:tcW w:w="175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2060"/>
            <w:noWrap/>
            <w:vAlign w:val="bottom"/>
          </w:tcPr>
          <w:p w:rsidR="000C5081" w:rsidRDefault="000C5081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2013</w:t>
            </w:r>
          </w:p>
        </w:tc>
        <w:tc>
          <w:tcPr>
            <w:tcW w:w="1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2060"/>
            <w:noWrap/>
            <w:vAlign w:val="bottom"/>
          </w:tcPr>
          <w:p w:rsidR="000C5081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195 616</w:t>
            </w:r>
          </w:p>
        </w:tc>
        <w:tc>
          <w:tcPr>
            <w:tcW w:w="18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2060"/>
            <w:noWrap/>
            <w:vAlign w:val="bottom"/>
          </w:tcPr>
          <w:p w:rsidR="000C5081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543 628</w:t>
            </w:r>
          </w:p>
        </w:tc>
        <w:tc>
          <w:tcPr>
            <w:tcW w:w="20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2060"/>
            <w:vAlign w:val="bottom"/>
          </w:tcPr>
          <w:p w:rsidR="000C5081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74 300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2060"/>
            <w:vAlign w:val="bottom"/>
          </w:tcPr>
          <w:p w:rsidR="000C5081" w:rsidRDefault="00556A45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191 227</w:t>
            </w:r>
          </w:p>
        </w:tc>
      </w:tr>
      <w:tr w:rsidR="000C5081" w:rsidRPr="00563D04" w:rsidTr="00E35DB3">
        <w:trPr>
          <w:trHeight w:val="314"/>
        </w:trPr>
        <w:tc>
          <w:tcPr>
            <w:tcW w:w="175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bottom"/>
          </w:tcPr>
          <w:p w:rsidR="000C5081" w:rsidRPr="00735F4C" w:rsidRDefault="000C5081" w:rsidP="00416C4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2014</w:t>
            </w:r>
          </w:p>
        </w:tc>
        <w:tc>
          <w:tcPr>
            <w:tcW w:w="1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bottom"/>
          </w:tcPr>
          <w:p w:rsidR="000C5081" w:rsidRPr="00563D04" w:rsidRDefault="004A328E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193 101</w:t>
            </w:r>
          </w:p>
        </w:tc>
        <w:tc>
          <w:tcPr>
            <w:tcW w:w="18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bottom"/>
          </w:tcPr>
          <w:p w:rsidR="000C5081" w:rsidRPr="00563D04" w:rsidRDefault="004A328E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484 126</w:t>
            </w:r>
          </w:p>
        </w:tc>
        <w:tc>
          <w:tcPr>
            <w:tcW w:w="2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bottom"/>
          </w:tcPr>
          <w:p w:rsidR="000C5081" w:rsidRPr="00563D04" w:rsidRDefault="004A328E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79 926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B0F0"/>
            <w:vAlign w:val="bottom"/>
          </w:tcPr>
          <w:p w:rsidR="000C5081" w:rsidRPr="00563D04" w:rsidRDefault="004A328E" w:rsidP="00416C4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174 642</w:t>
            </w:r>
          </w:p>
        </w:tc>
      </w:tr>
    </w:tbl>
    <w:p w:rsidR="000C5081" w:rsidRPr="00337C98" w:rsidRDefault="000C5081" w:rsidP="000D2B4C">
      <w:pPr>
        <w:rPr>
          <w:rFonts w:ascii="Arial" w:hAnsi="Arial" w:cs="Arial"/>
          <w:color w:val="003366"/>
          <w:sz w:val="18"/>
          <w:szCs w:val="18"/>
        </w:rPr>
      </w:pPr>
      <w:r w:rsidRPr="00337C98">
        <w:rPr>
          <w:rFonts w:ascii="Arial" w:hAnsi="Arial" w:cs="Arial"/>
          <w:color w:val="003366"/>
          <w:sz w:val="18"/>
          <w:szCs w:val="18"/>
        </w:rPr>
        <w:t>Tab. 3: Celkový počet hostů a jejich přenocování v TO Os</w:t>
      </w:r>
      <w:r w:rsidR="00AF274F">
        <w:rPr>
          <w:rFonts w:ascii="Arial" w:hAnsi="Arial" w:cs="Arial"/>
          <w:color w:val="003366"/>
          <w:sz w:val="18"/>
          <w:szCs w:val="18"/>
        </w:rPr>
        <w:t>travsko: období let 2010 – 2014</w:t>
      </w:r>
      <w:r w:rsidR="004B001F">
        <w:rPr>
          <w:rFonts w:ascii="Arial" w:hAnsi="Arial" w:cs="Arial"/>
          <w:color w:val="003366"/>
          <w:sz w:val="18"/>
          <w:szCs w:val="18"/>
        </w:rPr>
        <w:t>, revidovaná data</w:t>
      </w:r>
    </w:p>
    <w:sectPr w:rsidR="000C5081" w:rsidRPr="00337C98" w:rsidSect="00170007">
      <w:headerReference w:type="default" r:id="rId9"/>
      <w:footerReference w:type="default" r:id="rId10"/>
      <w:pgSz w:w="11906" w:h="16838"/>
      <w:pgMar w:top="1417" w:right="1417" w:bottom="1276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65" w:rsidRDefault="00EA1D65" w:rsidP="00476A06">
      <w:pPr>
        <w:spacing w:after="0" w:line="240" w:lineRule="auto"/>
      </w:pPr>
      <w:r>
        <w:separator/>
      </w:r>
    </w:p>
  </w:endnote>
  <w:endnote w:type="continuationSeparator" w:id="0">
    <w:p w:rsidR="00EA1D65" w:rsidRDefault="00EA1D65" w:rsidP="004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81" w:rsidRDefault="00550C81" w:rsidP="00550C8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1" locked="0" layoutInCell="1" allowOverlap="1" wp14:anchorId="7D9C9CAD" wp14:editId="7C3381BE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550C81" w:rsidRPr="00870D4E" w:rsidRDefault="00550C81" w:rsidP="00550C8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2544C3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2544C3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65" w:rsidRDefault="00EA1D65" w:rsidP="00476A06">
      <w:pPr>
        <w:spacing w:after="0" w:line="240" w:lineRule="auto"/>
      </w:pPr>
      <w:r>
        <w:separator/>
      </w:r>
    </w:p>
  </w:footnote>
  <w:footnote w:type="continuationSeparator" w:id="0">
    <w:p w:rsidR="00EA1D65" w:rsidRDefault="00EA1D65" w:rsidP="00476A06">
      <w:pPr>
        <w:spacing w:after="0" w:line="240" w:lineRule="auto"/>
      </w:pPr>
      <w:r>
        <w:continuationSeparator/>
      </w:r>
    </w:p>
  </w:footnote>
  <w:footnote w:id="1">
    <w:p w:rsidR="00476A06" w:rsidRPr="00BD71B0" w:rsidRDefault="00476A06" w:rsidP="00476A06">
      <w:pPr>
        <w:pStyle w:val="Textpoznpodarou"/>
        <w:rPr>
          <w:rFonts w:ascii="Arial" w:hAnsi="Arial" w:cs="Arial"/>
          <w:color w:val="003366"/>
          <w:sz w:val="16"/>
          <w:szCs w:val="16"/>
        </w:rPr>
      </w:pPr>
      <w:r w:rsidRPr="00BD71B0">
        <w:rPr>
          <w:rStyle w:val="Znakapoznpodarou"/>
          <w:rFonts w:ascii="Arial" w:hAnsi="Arial" w:cs="Arial"/>
          <w:color w:val="003366"/>
          <w:sz w:val="16"/>
          <w:szCs w:val="16"/>
        </w:rPr>
        <w:footnoteRef/>
      </w:r>
      <w:r w:rsidRPr="00BD71B0">
        <w:rPr>
          <w:rFonts w:ascii="Arial" w:hAnsi="Arial" w:cs="Arial"/>
          <w:color w:val="003366"/>
          <w:sz w:val="16"/>
          <w:szCs w:val="16"/>
        </w:rPr>
        <w:t xml:space="preserve"> Zdroj: Nejnovější čísla ČSÚ v rychlých informacích; </w:t>
      </w:r>
      <w:r w:rsidR="000D2B4C" w:rsidRPr="00BD71B0">
        <w:rPr>
          <w:rFonts w:ascii="Arial" w:hAnsi="Arial" w:cs="Arial"/>
          <w:color w:val="003366"/>
          <w:sz w:val="16"/>
          <w:szCs w:val="16"/>
        </w:rPr>
        <w:t>http://www.czso.cz/csu/csu.nsf/informace/ccru020915.docx</w:t>
      </w:r>
    </w:p>
  </w:footnote>
  <w:footnote w:id="2">
    <w:p w:rsidR="007617E4" w:rsidRDefault="007617E4" w:rsidP="007617E4">
      <w:pPr>
        <w:pStyle w:val="Textpoznpodarou"/>
      </w:pPr>
      <w:r w:rsidRPr="00BD71B0">
        <w:rPr>
          <w:rStyle w:val="Znakapoznpodarou"/>
          <w:rFonts w:ascii="Arial" w:hAnsi="Arial" w:cs="Arial"/>
          <w:color w:val="003366"/>
          <w:sz w:val="16"/>
          <w:szCs w:val="16"/>
        </w:rPr>
        <w:footnoteRef/>
      </w:r>
      <w:r w:rsidRPr="00BD71B0">
        <w:rPr>
          <w:rFonts w:ascii="Arial" w:hAnsi="Arial" w:cs="Arial"/>
          <w:color w:val="003366"/>
          <w:sz w:val="16"/>
          <w:szCs w:val="16"/>
        </w:rPr>
        <w:t xml:space="preserve"> Ostrava, Klimkovice, Vřesina, Dolní Lhota, Horní Lhota, Čavisov, Velká Polom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06" w:rsidRDefault="00476A06" w:rsidP="00476A06">
    <w:pPr>
      <w:tabs>
        <w:tab w:val="center" w:pos="4819"/>
      </w:tabs>
      <w:rPr>
        <w:rStyle w:val="slostrnky"/>
        <w:rFonts w:ascii="Arial" w:hAnsi="Arial" w:cs="Arial"/>
        <w:b/>
        <w:color w:val="003C69"/>
      </w:rPr>
    </w:pPr>
    <w:r>
      <w:rPr>
        <w:rStyle w:val="slostrnky"/>
        <w:rFonts w:ascii="Arial" w:hAnsi="Arial" w:cs="Arial"/>
        <w:b/>
        <w:color w:val="003C69"/>
      </w:rPr>
      <w:t>Magistrát města Ostravy</w:t>
    </w:r>
    <w:r>
      <w:rPr>
        <w:rStyle w:val="slostrnky"/>
        <w:rFonts w:ascii="Arial" w:hAnsi="Arial" w:cs="Arial"/>
        <w:b/>
        <w:color w:val="003C69"/>
      </w:rPr>
      <w:br/>
      <w:t xml:space="preserve">Odbor </w:t>
    </w:r>
    <w:r w:rsidR="00C80DE0">
      <w:rPr>
        <w:rStyle w:val="slostrnky"/>
        <w:rFonts w:ascii="Arial" w:hAnsi="Arial" w:cs="Arial"/>
        <w:b/>
        <w:color w:val="003C69"/>
      </w:rPr>
      <w:t>strateg</w:t>
    </w:r>
    <w:r>
      <w:rPr>
        <w:rStyle w:val="slostrnky"/>
        <w:rFonts w:ascii="Arial" w:hAnsi="Arial" w:cs="Arial"/>
        <w:b/>
        <w:color w:val="003C69"/>
      </w:rPr>
      <w:t>ického rozvoje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F6"/>
    <w:rsid w:val="0001419D"/>
    <w:rsid w:val="00024033"/>
    <w:rsid w:val="000332A6"/>
    <w:rsid w:val="00043A5A"/>
    <w:rsid w:val="000654EF"/>
    <w:rsid w:val="00075B9D"/>
    <w:rsid w:val="00080F9A"/>
    <w:rsid w:val="000A427A"/>
    <w:rsid w:val="000A721A"/>
    <w:rsid w:val="000C5081"/>
    <w:rsid w:val="000D2B4C"/>
    <w:rsid w:val="000D6FE6"/>
    <w:rsid w:val="000F0092"/>
    <w:rsid w:val="00107581"/>
    <w:rsid w:val="00107B22"/>
    <w:rsid w:val="00137A5D"/>
    <w:rsid w:val="001506ED"/>
    <w:rsid w:val="0015172F"/>
    <w:rsid w:val="00155466"/>
    <w:rsid w:val="001632C3"/>
    <w:rsid w:val="00170007"/>
    <w:rsid w:val="00185047"/>
    <w:rsid w:val="00196C42"/>
    <w:rsid w:val="001B46EF"/>
    <w:rsid w:val="001B7BCB"/>
    <w:rsid w:val="001C0BCF"/>
    <w:rsid w:val="001D3906"/>
    <w:rsid w:val="001F7760"/>
    <w:rsid w:val="00205274"/>
    <w:rsid w:val="00205367"/>
    <w:rsid w:val="0020558D"/>
    <w:rsid w:val="002135CD"/>
    <w:rsid w:val="00216DA8"/>
    <w:rsid w:val="0022476B"/>
    <w:rsid w:val="00224D87"/>
    <w:rsid w:val="002417F5"/>
    <w:rsid w:val="00251DC8"/>
    <w:rsid w:val="0025200A"/>
    <w:rsid w:val="002544C3"/>
    <w:rsid w:val="00281611"/>
    <w:rsid w:val="00284B78"/>
    <w:rsid w:val="00292976"/>
    <w:rsid w:val="002B168E"/>
    <w:rsid w:val="002B56D3"/>
    <w:rsid w:val="002C118A"/>
    <w:rsid w:val="002C76A5"/>
    <w:rsid w:val="002D634A"/>
    <w:rsid w:val="002F51F0"/>
    <w:rsid w:val="003022FA"/>
    <w:rsid w:val="00307DCC"/>
    <w:rsid w:val="00310F0A"/>
    <w:rsid w:val="003137AD"/>
    <w:rsid w:val="003155F3"/>
    <w:rsid w:val="00320DC7"/>
    <w:rsid w:val="00322DED"/>
    <w:rsid w:val="00323067"/>
    <w:rsid w:val="00333F75"/>
    <w:rsid w:val="00337C98"/>
    <w:rsid w:val="00351940"/>
    <w:rsid w:val="00355F6D"/>
    <w:rsid w:val="00381013"/>
    <w:rsid w:val="003A1BC7"/>
    <w:rsid w:val="003B3054"/>
    <w:rsid w:val="003C38DB"/>
    <w:rsid w:val="003C6860"/>
    <w:rsid w:val="003D3898"/>
    <w:rsid w:val="003D51BF"/>
    <w:rsid w:val="003E284D"/>
    <w:rsid w:val="00401E3F"/>
    <w:rsid w:val="00404622"/>
    <w:rsid w:val="0041599D"/>
    <w:rsid w:val="00416437"/>
    <w:rsid w:val="0041714E"/>
    <w:rsid w:val="004235C2"/>
    <w:rsid w:val="00442FFF"/>
    <w:rsid w:val="00460471"/>
    <w:rsid w:val="00460A9E"/>
    <w:rsid w:val="00465744"/>
    <w:rsid w:val="00476A06"/>
    <w:rsid w:val="0048002A"/>
    <w:rsid w:val="00485415"/>
    <w:rsid w:val="00492012"/>
    <w:rsid w:val="004958D1"/>
    <w:rsid w:val="004A328E"/>
    <w:rsid w:val="004B001F"/>
    <w:rsid w:val="004C3E13"/>
    <w:rsid w:val="004C4693"/>
    <w:rsid w:val="004E34B9"/>
    <w:rsid w:val="004F342F"/>
    <w:rsid w:val="0051448B"/>
    <w:rsid w:val="00550C81"/>
    <w:rsid w:val="005519DF"/>
    <w:rsid w:val="005533ED"/>
    <w:rsid w:val="005540BB"/>
    <w:rsid w:val="00556A45"/>
    <w:rsid w:val="00571200"/>
    <w:rsid w:val="00574B35"/>
    <w:rsid w:val="005752FB"/>
    <w:rsid w:val="00583FB2"/>
    <w:rsid w:val="0059093F"/>
    <w:rsid w:val="005924E6"/>
    <w:rsid w:val="00592FB1"/>
    <w:rsid w:val="005C102B"/>
    <w:rsid w:val="005D3F36"/>
    <w:rsid w:val="005D4EB2"/>
    <w:rsid w:val="0060039A"/>
    <w:rsid w:val="00622AFC"/>
    <w:rsid w:val="00624FCE"/>
    <w:rsid w:val="00633AE4"/>
    <w:rsid w:val="006407C9"/>
    <w:rsid w:val="00647292"/>
    <w:rsid w:val="00681A77"/>
    <w:rsid w:val="006929F5"/>
    <w:rsid w:val="006B3E05"/>
    <w:rsid w:val="006C282F"/>
    <w:rsid w:val="006E765D"/>
    <w:rsid w:val="006E7D01"/>
    <w:rsid w:val="006F03EB"/>
    <w:rsid w:val="006F3941"/>
    <w:rsid w:val="00713B8F"/>
    <w:rsid w:val="00720C91"/>
    <w:rsid w:val="007324DC"/>
    <w:rsid w:val="00753DEC"/>
    <w:rsid w:val="00757DCF"/>
    <w:rsid w:val="007617E4"/>
    <w:rsid w:val="007934AC"/>
    <w:rsid w:val="00794E09"/>
    <w:rsid w:val="007A5363"/>
    <w:rsid w:val="007A7BD0"/>
    <w:rsid w:val="007B5B4D"/>
    <w:rsid w:val="007F309B"/>
    <w:rsid w:val="00813479"/>
    <w:rsid w:val="00813FC1"/>
    <w:rsid w:val="00820004"/>
    <w:rsid w:val="00834CD6"/>
    <w:rsid w:val="00840A13"/>
    <w:rsid w:val="0085062F"/>
    <w:rsid w:val="0086117A"/>
    <w:rsid w:val="00873158"/>
    <w:rsid w:val="00874FD3"/>
    <w:rsid w:val="00876A8E"/>
    <w:rsid w:val="00895E34"/>
    <w:rsid w:val="008A0189"/>
    <w:rsid w:val="008D2ED7"/>
    <w:rsid w:val="008D4F1F"/>
    <w:rsid w:val="008D6DDE"/>
    <w:rsid w:val="008E4F44"/>
    <w:rsid w:val="008F706D"/>
    <w:rsid w:val="0090413C"/>
    <w:rsid w:val="009259D1"/>
    <w:rsid w:val="009372CC"/>
    <w:rsid w:val="00940472"/>
    <w:rsid w:val="00947B77"/>
    <w:rsid w:val="00953425"/>
    <w:rsid w:val="0095492F"/>
    <w:rsid w:val="009620F9"/>
    <w:rsid w:val="00970FBF"/>
    <w:rsid w:val="00986ABC"/>
    <w:rsid w:val="009C7B36"/>
    <w:rsid w:val="00A01D60"/>
    <w:rsid w:val="00A03390"/>
    <w:rsid w:val="00A537FD"/>
    <w:rsid w:val="00A5769B"/>
    <w:rsid w:val="00A61AA0"/>
    <w:rsid w:val="00A73429"/>
    <w:rsid w:val="00A804D0"/>
    <w:rsid w:val="00A86A06"/>
    <w:rsid w:val="00A87916"/>
    <w:rsid w:val="00A90BAC"/>
    <w:rsid w:val="00A9638E"/>
    <w:rsid w:val="00A973B9"/>
    <w:rsid w:val="00AA210F"/>
    <w:rsid w:val="00AA281F"/>
    <w:rsid w:val="00AA64BC"/>
    <w:rsid w:val="00AA7AA8"/>
    <w:rsid w:val="00AC3AC2"/>
    <w:rsid w:val="00AE6DE6"/>
    <w:rsid w:val="00AF274F"/>
    <w:rsid w:val="00B073E8"/>
    <w:rsid w:val="00B245DE"/>
    <w:rsid w:val="00B3073F"/>
    <w:rsid w:val="00B40F4C"/>
    <w:rsid w:val="00B4172F"/>
    <w:rsid w:val="00B52221"/>
    <w:rsid w:val="00B53C8E"/>
    <w:rsid w:val="00B53EF7"/>
    <w:rsid w:val="00B55CFA"/>
    <w:rsid w:val="00B735F0"/>
    <w:rsid w:val="00B83E9D"/>
    <w:rsid w:val="00BA4CD9"/>
    <w:rsid w:val="00BA5E7F"/>
    <w:rsid w:val="00BC6DE1"/>
    <w:rsid w:val="00BD35B2"/>
    <w:rsid w:val="00BD5D87"/>
    <w:rsid w:val="00BD71B0"/>
    <w:rsid w:val="00BE211C"/>
    <w:rsid w:val="00BE5C29"/>
    <w:rsid w:val="00BF2A21"/>
    <w:rsid w:val="00C22A9F"/>
    <w:rsid w:val="00C22D4F"/>
    <w:rsid w:val="00C35C70"/>
    <w:rsid w:val="00C40504"/>
    <w:rsid w:val="00C40994"/>
    <w:rsid w:val="00C428BC"/>
    <w:rsid w:val="00C47E9E"/>
    <w:rsid w:val="00C6353B"/>
    <w:rsid w:val="00C6541B"/>
    <w:rsid w:val="00C667BF"/>
    <w:rsid w:val="00C74308"/>
    <w:rsid w:val="00C74BA7"/>
    <w:rsid w:val="00C80DE0"/>
    <w:rsid w:val="00C91867"/>
    <w:rsid w:val="00CA2C09"/>
    <w:rsid w:val="00CA540F"/>
    <w:rsid w:val="00CD6107"/>
    <w:rsid w:val="00CF332F"/>
    <w:rsid w:val="00D03FF8"/>
    <w:rsid w:val="00D12998"/>
    <w:rsid w:val="00D158B1"/>
    <w:rsid w:val="00D363AF"/>
    <w:rsid w:val="00D60A2D"/>
    <w:rsid w:val="00D63EE0"/>
    <w:rsid w:val="00D7025A"/>
    <w:rsid w:val="00D80F84"/>
    <w:rsid w:val="00D900C4"/>
    <w:rsid w:val="00D934AC"/>
    <w:rsid w:val="00DA08F0"/>
    <w:rsid w:val="00DB2711"/>
    <w:rsid w:val="00DB7665"/>
    <w:rsid w:val="00DD4734"/>
    <w:rsid w:val="00DE7C74"/>
    <w:rsid w:val="00DF7020"/>
    <w:rsid w:val="00E17EF1"/>
    <w:rsid w:val="00E33EA6"/>
    <w:rsid w:val="00E35DB3"/>
    <w:rsid w:val="00E43309"/>
    <w:rsid w:val="00E44A11"/>
    <w:rsid w:val="00E44A42"/>
    <w:rsid w:val="00E527C8"/>
    <w:rsid w:val="00E608BD"/>
    <w:rsid w:val="00E60DFA"/>
    <w:rsid w:val="00E719F6"/>
    <w:rsid w:val="00E80E5D"/>
    <w:rsid w:val="00E8752C"/>
    <w:rsid w:val="00EA1D65"/>
    <w:rsid w:val="00EB267D"/>
    <w:rsid w:val="00EC3097"/>
    <w:rsid w:val="00ED25F6"/>
    <w:rsid w:val="00ED2680"/>
    <w:rsid w:val="00EE5612"/>
    <w:rsid w:val="00EF30DA"/>
    <w:rsid w:val="00EF5EDA"/>
    <w:rsid w:val="00F07775"/>
    <w:rsid w:val="00F20A33"/>
    <w:rsid w:val="00F2193C"/>
    <w:rsid w:val="00F2194D"/>
    <w:rsid w:val="00F30EBC"/>
    <w:rsid w:val="00F324C1"/>
    <w:rsid w:val="00F32CDD"/>
    <w:rsid w:val="00F3525D"/>
    <w:rsid w:val="00F52844"/>
    <w:rsid w:val="00F76E0F"/>
    <w:rsid w:val="00F900B7"/>
    <w:rsid w:val="00F945EF"/>
    <w:rsid w:val="00F96648"/>
    <w:rsid w:val="00FA5F72"/>
    <w:rsid w:val="00FC7C7C"/>
    <w:rsid w:val="00FD3A25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2A9F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E13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2A9F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E13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87DE-B9EE-4CCC-AD79-7695074F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Hromková Jana</dc:creator>
  <cp:lastModifiedBy>Serafinová Aneta</cp:lastModifiedBy>
  <cp:revision>16</cp:revision>
  <cp:lastPrinted>2015-02-26T08:34:00Z</cp:lastPrinted>
  <dcterms:created xsi:type="dcterms:W3CDTF">2015-02-17T10:03:00Z</dcterms:created>
  <dcterms:modified xsi:type="dcterms:W3CDTF">2015-05-28T07:54:00Z</dcterms:modified>
</cp:coreProperties>
</file>