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6" w:rsidRDefault="00476A06" w:rsidP="00476A06">
      <w:pPr>
        <w:pStyle w:val="Nadpis1"/>
        <w:jc w:val="right"/>
        <w:rPr>
          <w:rFonts w:ascii="Arial" w:hAnsi="Arial" w:cs="Arial"/>
          <w:color w:val="00B0F0"/>
          <w:sz w:val="28"/>
          <w:szCs w:val="28"/>
          <w:lang w:val="cs-CZ"/>
        </w:rPr>
      </w:pPr>
      <w:r>
        <w:rPr>
          <w:rFonts w:ascii="Arial" w:hAnsi="Arial"/>
          <w:noProof/>
          <w:color w:val="002060"/>
          <w:lang w:val="cs-CZ" w:eastAsia="cs-CZ"/>
        </w:rPr>
        <w:drawing>
          <wp:inline distT="0" distB="0" distL="0" distR="0" wp14:anchorId="7D19DA7F" wp14:editId="63E02CC6">
            <wp:extent cx="3614420" cy="758825"/>
            <wp:effectExtent l="0" t="0" r="5080" b="3175"/>
            <wp:docPr id="1" name="Obrázek 1" descr="banner_2b_bare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2b_barev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6" w:rsidRPr="00476A06" w:rsidRDefault="00476A06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  <w:r w:rsidRPr="00476A0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18. 2. 2014</w:t>
      </w:r>
    </w:p>
    <w:p w:rsidR="00476A06" w:rsidRDefault="00476A06" w:rsidP="00476A06">
      <w:pPr>
        <w:pStyle w:val="Nadpis1"/>
        <w:spacing w:before="240"/>
        <w:jc w:val="both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Cestovní ruch – </w:t>
      </w:r>
      <w:r>
        <w:rPr>
          <w:rFonts w:ascii="Arial" w:hAnsi="Arial" w:cs="Arial"/>
          <w:color w:val="00B0F0"/>
          <w:sz w:val="28"/>
          <w:szCs w:val="28"/>
          <w:lang w:val="cs-CZ"/>
        </w:rPr>
        <w:t>4</w:t>
      </w:r>
      <w:r>
        <w:rPr>
          <w:rFonts w:ascii="Arial" w:hAnsi="Arial" w:cs="Arial"/>
          <w:color w:val="00B0F0"/>
          <w:sz w:val="28"/>
          <w:szCs w:val="28"/>
        </w:rPr>
        <w:t>. čtvrtletí 201</w:t>
      </w:r>
      <w:r>
        <w:rPr>
          <w:rFonts w:ascii="Arial" w:hAnsi="Arial" w:cs="Arial"/>
          <w:color w:val="00B0F0"/>
          <w:sz w:val="28"/>
          <w:szCs w:val="28"/>
          <w:lang w:val="cs-CZ"/>
        </w:rPr>
        <w:t>3</w:t>
      </w:r>
      <w:r>
        <w:rPr>
          <w:rStyle w:val="Znakapoznpodarou"/>
          <w:rFonts w:ascii="Arial" w:hAnsi="Arial" w:cs="Arial"/>
          <w:color w:val="00B0F0"/>
          <w:sz w:val="28"/>
          <w:szCs w:val="28"/>
        </w:rPr>
        <w:footnoteReference w:id="1"/>
      </w:r>
    </w:p>
    <w:p w:rsidR="00BF2A21" w:rsidRPr="00476A06" w:rsidRDefault="00404622" w:rsidP="00476A06">
      <w:pPr>
        <w:spacing w:before="240"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Z dat ČSÚ</w:t>
      </w:r>
      <w:r w:rsidR="002417F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vyplývá, že v</w:t>
      </w:r>
      <w:r w:rsidR="00BC6DE1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 4. čtvrtletí 2013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se </w:t>
      </w:r>
      <w:r w:rsidR="00C74BA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 </w:t>
      </w:r>
      <w:r w:rsidR="00C74BA7" w:rsidRPr="00476A06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České republice</w:t>
      </w:r>
      <w:r w:rsidR="00C74BA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meziročně zvýšil počet přenocování hostů v hromadných ubytovacích zařízeních. Celkový počet přenocování dosáhl hodnoty 7,6 milionu, což je o </w:t>
      </w:r>
      <w:r w:rsidRPr="00476A06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1,1%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víc</w:t>
      </w:r>
      <w:r w:rsidR="0001419D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než ve stejném období předchozího roku. Významnou roli </w:t>
      </w:r>
      <w:r w:rsidR="00C74BA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 tomto měřítku 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hráli zejména hosté ze zahraničí, u nichž byl zaznamenán nárůst v počtu přenocování o 2,9%. </w:t>
      </w:r>
      <w:r w:rsidR="005924E6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Celkový nárůst byl zaznamenán také u počtu příjezdů.</w:t>
      </w:r>
      <w:r w:rsidR="002C76A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Ve sledovaném období Českou republiku navštívilo celkem 2,9 milionu hostů, což v meziročním srovnání představuje </w:t>
      </w:r>
      <w:r w:rsidR="006929F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nárůst</w:t>
      </w:r>
      <w:r w:rsidR="002C76A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o 3,9%. Počet příjezdů do</w:t>
      </w:r>
      <w:r w:rsidR="00C9186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mácích návštěvníků vzrostl o 2,3</w:t>
      </w:r>
      <w:r w:rsidR="002C76A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%, počet nerezidentů </w:t>
      </w:r>
      <w:r w:rsidR="0051448B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se zvýšil</w:t>
      </w:r>
      <w:r w:rsidR="002C76A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dokonce o 5,1%.</w:t>
      </w:r>
      <w:r w:rsidR="0048541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</w:p>
    <w:p w:rsidR="00C91867" w:rsidRDefault="00953425" w:rsidP="00476A06">
      <w:pPr>
        <w:spacing w:before="24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Tendenci růstu co do počtu přenocování kopírovala rovněž data pro </w:t>
      </w:r>
      <w:r w:rsidRPr="00476A06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Moravskoslezský kraj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Celkový počet přenocování dosáhl 344 939, což </w:t>
      </w:r>
      <w:r w:rsidR="00F0777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je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nárůst o 4,9% oproti stejnému období v roce 2012. </w:t>
      </w:r>
      <w:r w:rsidR="00C9186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Meziročně vzrostl </w:t>
      </w:r>
      <w:r w:rsidR="00F07775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 Moravskoslezském kraji </w:t>
      </w:r>
      <w:r w:rsidR="00C9186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také počet hostů, ve sledovaném období přijelo celkem 129 356 hostů, což je o 3,5% více než ve stejném období předešlého roku.</w:t>
      </w: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476A06" w:rsidRPr="00735F4C" w:rsidTr="00476A06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MSK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Hosté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celkem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zahr. hostů</w:t>
            </w:r>
          </w:p>
        </w:tc>
      </w:tr>
      <w:tr w:rsidR="00476A06" w:rsidRPr="00735F4C" w:rsidTr="009B5F8B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476A06" w:rsidRPr="00735F4C" w:rsidRDefault="00476A06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4. čtvrtletí 2012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125 019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329 684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27 238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72 347</w:t>
            </w:r>
          </w:p>
        </w:tc>
      </w:tr>
      <w:tr w:rsidR="00476A06" w:rsidRPr="00735F4C" w:rsidTr="009B5F8B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476A06" w:rsidRPr="00735F4C" w:rsidRDefault="00476A06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4. čtvrtletí 2013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129 356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344 939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30 800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89 503</w:t>
            </w:r>
          </w:p>
        </w:tc>
      </w:tr>
    </w:tbl>
    <w:p w:rsidR="00476A06" w:rsidRPr="00F048BC" w:rsidRDefault="00EC3097" w:rsidP="00476A06">
      <w:pPr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Tab. 1: </w:t>
      </w:r>
      <w:r w:rsidR="00476A06" w:rsidRPr="00F048BC">
        <w:rPr>
          <w:rFonts w:ascii="Arial" w:hAnsi="Arial" w:cs="Arial"/>
          <w:color w:val="003366"/>
          <w:sz w:val="18"/>
          <w:szCs w:val="18"/>
        </w:rPr>
        <w:t>Celkový počet hostů a přenocování v</w:t>
      </w:r>
      <w:r w:rsidR="00476A06">
        <w:rPr>
          <w:rFonts w:ascii="Arial" w:hAnsi="Arial" w:cs="Arial"/>
          <w:color w:val="003366"/>
          <w:sz w:val="18"/>
          <w:szCs w:val="18"/>
        </w:rPr>
        <w:t> MSK: 4</w:t>
      </w:r>
      <w:r w:rsidR="00476A06" w:rsidRPr="00F048BC">
        <w:rPr>
          <w:rFonts w:ascii="Arial" w:hAnsi="Arial" w:cs="Arial"/>
          <w:color w:val="003366"/>
          <w:sz w:val="18"/>
          <w:szCs w:val="18"/>
        </w:rPr>
        <w:t xml:space="preserve">. </w:t>
      </w:r>
      <w:r w:rsidR="00476A06">
        <w:rPr>
          <w:rFonts w:ascii="Arial" w:hAnsi="Arial" w:cs="Arial"/>
          <w:color w:val="003366"/>
          <w:sz w:val="18"/>
          <w:szCs w:val="18"/>
        </w:rPr>
        <w:t>č</w:t>
      </w:r>
      <w:r w:rsidR="00476A06" w:rsidRPr="00F048BC">
        <w:rPr>
          <w:rFonts w:ascii="Arial" w:hAnsi="Arial" w:cs="Arial"/>
          <w:color w:val="003366"/>
          <w:sz w:val="18"/>
          <w:szCs w:val="18"/>
        </w:rPr>
        <w:t xml:space="preserve">tvrtletí </w:t>
      </w:r>
      <w:r w:rsidR="00476A06">
        <w:rPr>
          <w:rFonts w:ascii="Arial" w:hAnsi="Arial" w:cs="Arial"/>
          <w:color w:val="003366"/>
          <w:sz w:val="18"/>
          <w:szCs w:val="18"/>
        </w:rPr>
        <w:t>2012/2013</w:t>
      </w:r>
    </w:p>
    <w:p w:rsidR="00BA4CD9" w:rsidRPr="00476A06" w:rsidRDefault="00BA4CD9" w:rsidP="00476A06">
      <w:pPr>
        <w:spacing w:before="240"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Návštěvnost </w:t>
      </w:r>
      <w:r w:rsidRPr="00476A06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turistické oblasti Ostravsko</w:t>
      </w:r>
      <w:r w:rsidR="00813479">
        <w:rPr>
          <w:rStyle w:val="Znakapoznpodarou"/>
          <w:rFonts w:ascii="Arial" w:eastAsia="Times New Roman" w:hAnsi="Arial" w:cs="Arial"/>
          <w:b/>
          <w:color w:val="003366"/>
          <w:sz w:val="20"/>
          <w:szCs w:val="20"/>
          <w:lang w:eastAsia="cs-CZ"/>
        </w:rPr>
        <w:footnoteReference w:id="2"/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ve 4. </w:t>
      </w:r>
      <w:r w:rsidR="006929F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č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tvrtletí 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roku 2013 opět r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ostla. V uplynulém období navštívilo TO Ostravsko celkem 45 971 hostů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, což </w:t>
      </w:r>
      <w:r w:rsidR="006929F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 meziročním srovnání 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znamená nárůst o 4%. Tento 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růst byl 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ovlivněn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zejména 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díky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přijíždějícím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cizinců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m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jejichž počet se zvýšil celkem o 11%. Nejpočetnějšími skupinami cizinců byli již tradičně hosté z Polska, Slovenska a Německa. Dále pak v hojném počtu navštívili Ostravsko také návštěvníci z Ruska a Rakouska.</w:t>
      </w:r>
    </w:p>
    <w:p w:rsidR="00BA4CD9" w:rsidRDefault="00BA4CD9" w:rsidP="00476A06">
      <w:pPr>
        <w:spacing w:before="24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Meziročně vzrostl také počet přenocování, a to o necelých 14%. Zatímco ve 4. </w:t>
      </w:r>
      <w:r w:rsidR="006929F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č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tvrtletí 2012 bylo vykonáno 113 563 přenocování, v roce 2013 se v posledním čtvrtletí počet přenocování zvýšil na hodnotu 129 133. V meziročním srovnání to znamená, že </w:t>
      </w:r>
      <w:r w:rsidR="00C35C7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se zvýšil také 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průměrný počet strávených nocí  návštěvníků přijíždějících do TO Ostravsko se zvýšil z 2,5 nocí na 2,8 noci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Delší dobu zde trávili také cizinci, průměrný počet strávených nocí vzrostl z 2,45 nocí na </w:t>
      </w:r>
      <w:r w:rsidR="006929F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2</w:t>
      </w:r>
      <w:r w:rsidR="00416437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,87 nocí.</w:t>
      </w: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476A06" w:rsidRPr="00735F4C" w:rsidTr="00476A06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Hosté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735F4C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zahr. hostů</w:t>
            </w:r>
          </w:p>
        </w:tc>
      </w:tr>
      <w:tr w:rsidR="00476A06" w:rsidRPr="00735F4C" w:rsidTr="009B5F8B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476A06" w:rsidRPr="00735F4C" w:rsidRDefault="00476A06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4. čtvrtletí 2012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44 126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113 563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15 310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37 543</w:t>
            </w:r>
          </w:p>
        </w:tc>
      </w:tr>
      <w:tr w:rsidR="00476A06" w:rsidRPr="00735F4C" w:rsidTr="009B5F8B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476A06" w:rsidRPr="00735F4C" w:rsidRDefault="00476A06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</w:t>
            </w:r>
            <w:r w:rsidRPr="00735F4C">
              <w:rPr>
                <w:rFonts w:ascii="Arial" w:hAnsi="Arial" w:cs="Arial"/>
                <w:b/>
                <w:color w:val="FFFFFF"/>
              </w:rPr>
              <w:t>. čtvrtletí 201</w:t>
            </w:r>
            <w:r>
              <w:rPr>
                <w:rFonts w:ascii="Arial" w:hAnsi="Arial" w:cs="Arial"/>
                <w:b/>
                <w:color w:val="FFFFFF"/>
              </w:rPr>
              <w:t>3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45 971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129 133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17 015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476A06" w:rsidRPr="00735F4C" w:rsidRDefault="006C282F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48 922</w:t>
            </w:r>
          </w:p>
        </w:tc>
      </w:tr>
    </w:tbl>
    <w:p w:rsidR="00476A06" w:rsidRPr="009A532B" w:rsidRDefault="00EC3097" w:rsidP="00476A06">
      <w:pPr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Tab. 2: </w:t>
      </w:r>
      <w:r w:rsidR="00476A06" w:rsidRPr="00F048BC">
        <w:rPr>
          <w:rFonts w:ascii="Arial" w:hAnsi="Arial" w:cs="Arial"/>
          <w:color w:val="003366"/>
          <w:sz w:val="18"/>
          <w:szCs w:val="18"/>
        </w:rPr>
        <w:t>Celkový počet hostů a přenocování v TO Ostr</w:t>
      </w:r>
      <w:r w:rsidR="00476A06">
        <w:rPr>
          <w:rFonts w:ascii="Arial" w:hAnsi="Arial" w:cs="Arial"/>
          <w:color w:val="003366"/>
          <w:sz w:val="18"/>
          <w:szCs w:val="18"/>
        </w:rPr>
        <w:t>avsko: 4</w:t>
      </w:r>
      <w:r w:rsidR="00476A06" w:rsidRPr="00F048BC">
        <w:rPr>
          <w:rFonts w:ascii="Arial" w:hAnsi="Arial" w:cs="Arial"/>
          <w:color w:val="003366"/>
          <w:sz w:val="18"/>
          <w:szCs w:val="18"/>
        </w:rPr>
        <w:t xml:space="preserve">. </w:t>
      </w:r>
      <w:r w:rsidR="00476A06">
        <w:rPr>
          <w:rFonts w:ascii="Arial" w:hAnsi="Arial" w:cs="Arial"/>
          <w:color w:val="003366"/>
          <w:sz w:val="18"/>
          <w:szCs w:val="18"/>
        </w:rPr>
        <w:t>č</w:t>
      </w:r>
      <w:r w:rsidR="00476A06" w:rsidRPr="00F048BC">
        <w:rPr>
          <w:rFonts w:ascii="Arial" w:hAnsi="Arial" w:cs="Arial"/>
          <w:color w:val="003366"/>
          <w:sz w:val="18"/>
          <w:szCs w:val="18"/>
        </w:rPr>
        <w:t xml:space="preserve">tvrtletí </w:t>
      </w:r>
      <w:r w:rsidR="00476A06">
        <w:rPr>
          <w:rFonts w:ascii="Arial" w:hAnsi="Arial" w:cs="Arial"/>
          <w:color w:val="003366"/>
          <w:sz w:val="18"/>
          <w:szCs w:val="18"/>
        </w:rPr>
        <w:t>2012/2013</w:t>
      </w:r>
    </w:p>
    <w:p w:rsidR="00624FCE" w:rsidRDefault="00E44A42" w:rsidP="007F309B">
      <w:pPr>
        <w:spacing w:before="24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 celorepublikovém měřítku se p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očet hostů od začátku roku zvýšil o 1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6%. </w:t>
      </w:r>
      <w:r w:rsidR="00075B9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Vzr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ostl počet </w:t>
      </w:r>
      <w:r w:rsidR="00075B9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jak 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hostů přijíždějících ze zahraničí (o 2%), </w:t>
      </w:r>
      <w:r w:rsidR="003810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tak i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počet domácích návštěvníků (nárůst o 1,2%). Oproti rostoucí tendenci v počtu hostů byl však zaznamenán mírný pokles co do počtu přenocování. Ačkoli počet přenocování zahraničních hostů meziročně stoupl o 1%, celkově v meziročním srovnání počet přenocování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 roce 2013 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klesl o 0,6%. Tento pokles byl způsoben zejména zkrácením délky pobytu domácích hos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tů, kteří v roce 2013 vykonali o</w:t>
      </w:r>
      <w:r w:rsidR="00624FCE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2,4% méně přenocování než v předchozím roce.</w:t>
      </w:r>
    </w:p>
    <w:p w:rsidR="00381013" w:rsidRDefault="00E44A42" w:rsidP="007F309B">
      <w:pPr>
        <w:spacing w:before="24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lastRenderedPageBreak/>
        <w:t>V turistické oblasti Ostravsko jsme v</w:t>
      </w:r>
      <w:r w:rsidR="003810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 průběhu posledních let mohli pozorovat nárůst nejen v počtu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přijíždějících </w:t>
      </w:r>
      <w:r w:rsidR="003810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hostů, </w:t>
      </w:r>
      <w:r w:rsidR="0020536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ale i </w:t>
      </w:r>
      <w:r w:rsidR="00DF702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 počtu</w:t>
      </w:r>
      <w:r w:rsidR="0020536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3810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vykonaných přenocování. Stejně tomu bylo i v roce 2013 kdy do turistické oblasti Ostravsko přijelo opět více návštěvníků, navíc došlo i k prodloužení průměrné délky jejich pobytu.</w:t>
      </w: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7F309B" w:rsidRPr="00735F4C" w:rsidTr="007F309B">
        <w:trPr>
          <w:trHeight w:val="300"/>
        </w:trPr>
        <w:tc>
          <w:tcPr>
            <w:tcW w:w="1857" w:type="dxa"/>
            <w:shd w:val="clear" w:color="auto" w:fill="00B050"/>
            <w:noWrap/>
            <w:vAlign w:val="bottom"/>
          </w:tcPr>
          <w:p w:rsidR="007F309B" w:rsidRPr="00735F4C" w:rsidRDefault="007F309B" w:rsidP="007F309B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843" w:type="dxa"/>
            <w:shd w:val="clear" w:color="auto" w:fill="00B050"/>
            <w:noWrap/>
            <w:vAlign w:val="bottom"/>
          </w:tcPr>
          <w:p w:rsidR="007F309B" w:rsidRPr="00735F4C" w:rsidRDefault="007F309B" w:rsidP="007F309B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Hosté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1984" w:type="dxa"/>
            <w:shd w:val="clear" w:color="auto" w:fill="00B050"/>
            <w:noWrap/>
            <w:vAlign w:val="bottom"/>
          </w:tcPr>
          <w:p w:rsidR="007F309B" w:rsidRPr="00735F4C" w:rsidRDefault="007F309B" w:rsidP="007F309B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7F309B" w:rsidRPr="00735F4C" w:rsidRDefault="007F309B" w:rsidP="007F309B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7F309B" w:rsidRPr="00735F4C" w:rsidRDefault="007F309B" w:rsidP="007F309B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zahr. hostů</w:t>
            </w:r>
          </w:p>
        </w:tc>
      </w:tr>
      <w:tr w:rsidR="007F309B" w:rsidRPr="00735F4C" w:rsidTr="009B5F8B">
        <w:trPr>
          <w:trHeight w:val="300"/>
        </w:trPr>
        <w:tc>
          <w:tcPr>
            <w:tcW w:w="1857" w:type="dxa"/>
            <w:shd w:val="clear" w:color="auto" w:fill="2BCD05"/>
            <w:noWrap/>
            <w:vAlign w:val="bottom"/>
          </w:tcPr>
          <w:p w:rsidR="007F309B" w:rsidRPr="00735F4C" w:rsidRDefault="007F309B" w:rsidP="007F309B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2010</w:t>
            </w:r>
          </w:p>
        </w:tc>
        <w:tc>
          <w:tcPr>
            <w:tcW w:w="1843" w:type="dxa"/>
            <w:shd w:val="clear" w:color="auto" w:fill="2BCD05"/>
            <w:noWrap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150 667</w:t>
            </w:r>
          </w:p>
        </w:tc>
        <w:tc>
          <w:tcPr>
            <w:tcW w:w="1984" w:type="dxa"/>
            <w:shd w:val="clear" w:color="auto" w:fill="2BCD05"/>
            <w:noWrap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431 222</w:t>
            </w:r>
          </w:p>
        </w:tc>
        <w:tc>
          <w:tcPr>
            <w:tcW w:w="2127" w:type="dxa"/>
            <w:shd w:val="clear" w:color="auto" w:fill="2BCD05"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49 073</w:t>
            </w:r>
          </w:p>
        </w:tc>
        <w:tc>
          <w:tcPr>
            <w:tcW w:w="1842" w:type="dxa"/>
            <w:shd w:val="clear" w:color="auto" w:fill="2BCD05"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119 249</w:t>
            </w:r>
          </w:p>
        </w:tc>
      </w:tr>
      <w:tr w:rsidR="007F309B" w:rsidRPr="00735F4C" w:rsidTr="007F309B">
        <w:trPr>
          <w:trHeight w:val="300"/>
        </w:trPr>
        <w:tc>
          <w:tcPr>
            <w:tcW w:w="1857" w:type="dxa"/>
            <w:shd w:val="clear" w:color="auto" w:fill="00B050"/>
            <w:noWrap/>
            <w:vAlign w:val="bottom"/>
          </w:tcPr>
          <w:p w:rsidR="007F309B" w:rsidRPr="00735F4C" w:rsidRDefault="007F309B" w:rsidP="007F309B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2011</w:t>
            </w:r>
          </w:p>
        </w:tc>
        <w:tc>
          <w:tcPr>
            <w:tcW w:w="1843" w:type="dxa"/>
            <w:shd w:val="clear" w:color="auto" w:fill="00B050"/>
            <w:noWrap/>
            <w:vAlign w:val="bottom"/>
          </w:tcPr>
          <w:p w:rsidR="007F309B" w:rsidRPr="00735F4C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172 924</w:t>
            </w:r>
          </w:p>
        </w:tc>
        <w:tc>
          <w:tcPr>
            <w:tcW w:w="1984" w:type="dxa"/>
            <w:shd w:val="clear" w:color="auto" w:fill="00B050"/>
            <w:noWrap/>
            <w:vAlign w:val="bottom"/>
          </w:tcPr>
          <w:p w:rsidR="007F309B" w:rsidRPr="00735F4C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484 846</w:t>
            </w:r>
          </w:p>
        </w:tc>
        <w:tc>
          <w:tcPr>
            <w:tcW w:w="2127" w:type="dxa"/>
            <w:shd w:val="clear" w:color="auto" w:fill="00B050"/>
            <w:vAlign w:val="bottom"/>
          </w:tcPr>
          <w:p w:rsidR="007F309B" w:rsidRPr="00735F4C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58 826</w:t>
            </w:r>
          </w:p>
        </w:tc>
        <w:tc>
          <w:tcPr>
            <w:tcW w:w="1842" w:type="dxa"/>
            <w:shd w:val="clear" w:color="auto" w:fill="00B050"/>
            <w:vAlign w:val="bottom"/>
          </w:tcPr>
          <w:p w:rsidR="007F309B" w:rsidRPr="00735F4C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141 818</w:t>
            </w:r>
          </w:p>
        </w:tc>
      </w:tr>
      <w:tr w:rsidR="007F309B" w:rsidRPr="00563D04" w:rsidTr="007F309B">
        <w:trPr>
          <w:trHeight w:val="300"/>
        </w:trPr>
        <w:tc>
          <w:tcPr>
            <w:tcW w:w="18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CD05"/>
            <w:noWrap/>
            <w:vAlign w:val="bottom"/>
          </w:tcPr>
          <w:p w:rsidR="007F309B" w:rsidRPr="00735F4C" w:rsidRDefault="007F309B" w:rsidP="007F309B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CD05"/>
            <w:noWrap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189 134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CD05"/>
            <w:noWrap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521 261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BCD05"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69 354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2BCD05"/>
            <w:vAlign w:val="bottom"/>
          </w:tcPr>
          <w:p w:rsidR="007F309B" w:rsidRPr="00563D04" w:rsidRDefault="007F309B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164 160</w:t>
            </w:r>
          </w:p>
        </w:tc>
      </w:tr>
      <w:tr w:rsidR="007F309B" w:rsidRPr="00563D04" w:rsidTr="007F309B">
        <w:trPr>
          <w:trHeight w:val="300"/>
        </w:trPr>
        <w:tc>
          <w:tcPr>
            <w:tcW w:w="185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B050"/>
            <w:noWrap/>
            <w:vAlign w:val="bottom"/>
          </w:tcPr>
          <w:p w:rsidR="007F309B" w:rsidRDefault="007F309B" w:rsidP="007F309B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B050"/>
            <w:noWrap/>
            <w:vAlign w:val="bottom"/>
          </w:tcPr>
          <w:p w:rsidR="007F309B" w:rsidRDefault="00A9638E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196 090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B050"/>
            <w:noWrap/>
            <w:vAlign w:val="bottom"/>
          </w:tcPr>
          <w:p w:rsidR="007F309B" w:rsidRDefault="00381013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536 647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B050"/>
            <w:vAlign w:val="bottom"/>
          </w:tcPr>
          <w:p w:rsidR="007F309B" w:rsidRDefault="00381013" w:rsidP="007F309B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73 793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B050"/>
            <w:vAlign w:val="bottom"/>
          </w:tcPr>
          <w:p w:rsidR="007F309B" w:rsidRDefault="00381013" w:rsidP="00A9638E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189 810</w:t>
            </w:r>
          </w:p>
        </w:tc>
      </w:tr>
    </w:tbl>
    <w:p w:rsidR="007F309B" w:rsidRPr="00EC3097" w:rsidRDefault="00EC3097" w:rsidP="00EC3097">
      <w:pPr>
        <w:ind w:firstLine="708"/>
        <w:jc w:val="center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Tab. 3: </w:t>
      </w:r>
      <w:r>
        <w:rPr>
          <w:rFonts w:ascii="Arial" w:hAnsi="Arial" w:cs="Arial"/>
          <w:color w:val="003366"/>
          <w:sz w:val="18"/>
          <w:szCs w:val="18"/>
        </w:rPr>
        <w:t>Celkový po</w:t>
      </w:r>
      <w:r>
        <w:rPr>
          <w:rFonts w:ascii="Arial" w:hAnsi="Arial" w:cs="Arial"/>
          <w:color w:val="003366"/>
          <w:sz w:val="18"/>
          <w:szCs w:val="18"/>
        </w:rPr>
        <w:t>čet hostů a jejich přenocová</w:t>
      </w:r>
      <w:bookmarkStart w:id="0" w:name="_GoBack"/>
      <w:bookmarkEnd w:id="0"/>
      <w:r>
        <w:rPr>
          <w:rFonts w:ascii="Arial" w:hAnsi="Arial" w:cs="Arial"/>
          <w:color w:val="003366"/>
          <w:sz w:val="18"/>
          <w:szCs w:val="18"/>
        </w:rPr>
        <w:t>ní</w:t>
      </w:r>
      <w:r>
        <w:rPr>
          <w:rFonts w:ascii="Arial" w:hAnsi="Arial" w:cs="Arial"/>
          <w:color w:val="003366"/>
          <w:sz w:val="18"/>
          <w:szCs w:val="18"/>
        </w:rPr>
        <w:t xml:space="preserve"> v TO Ostravsko</w:t>
      </w:r>
      <w:r>
        <w:rPr>
          <w:rFonts w:ascii="Arial" w:hAnsi="Arial" w:cs="Arial"/>
          <w:color w:val="003366"/>
          <w:sz w:val="18"/>
          <w:szCs w:val="18"/>
        </w:rPr>
        <w:t>: období let</w:t>
      </w:r>
      <w:r>
        <w:rPr>
          <w:rFonts w:ascii="Arial" w:hAnsi="Arial" w:cs="Arial"/>
          <w:color w:val="003366"/>
          <w:sz w:val="18"/>
          <w:szCs w:val="18"/>
        </w:rPr>
        <w:t xml:space="preserve"> 2010</w:t>
      </w:r>
      <w:r>
        <w:rPr>
          <w:rFonts w:ascii="Arial" w:hAnsi="Arial" w:cs="Arial"/>
          <w:color w:val="003366"/>
          <w:sz w:val="18"/>
          <w:szCs w:val="18"/>
        </w:rPr>
        <w:t xml:space="preserve"> – 2013 </w:t>
      </w:r>
    </w:p>
    <w:sectPr w:rsidR="007F309B" w:rsidRPr="00EC3097" w:rsidSect="00550C81">
      <w:headerReference w:type="default" r:id="rId9"/>
      <w:footerReference w:type="default" r:id="rId10"/>
      <w:pgSz w:w="11906" w:h="16838"/>
      <w:pgMar w:top="1417" w:right="1417" w:bottom="1417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22" w:rsidRDefault="00107B22" w:rsidP="00476A06">
      <w:pPr>
        <w:spacing w:after="0" w:line="240" w:lineRule="auto"/>
      </w:pPr>
      <w:r>
        <w:separator/>
      </w:r>
    </w:p>
  </w:endnote>
  <w:endnote w:type="continuationSeparator" w:id="0">
    <w:p w:rsidR="00107B22" w:rsidRDefault="00107B22" w:rsidP="004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1" w:rsidRDefault="00550C81" w:rsidP="00550C8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59264" behindDoc="1" locked="0" layoutInCell="1" allowOverlap="1" wp14:anchorId="707AAB14" wp14:editId="2D021E2B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550C81" w:rsidRPr="00870D4E" w:rsidRDefault="00550C81" w:rsidP="00550C8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EC309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EC309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22" w:rsidRDefault="00107B22" w:rsidP="00476A06">
      <w:pPr>
        <w:spacing w:after="0" w:line="240" w:lineRule="auto"/>
      </w:pPr>
      <w:r>
        <w:separator/>
      </w:r>
    </w:p>
  </w:footnote>
  <w:footnote w:type="continuationSeparator" w:id="0">
    <w:p w:rsidR="00107B22" w:rsidRDefault="00107B22" w:rsidP="00476A06">
      <w:pPr>
        <w:spacing w:after="0" w:line="240" w:lineRule="auto"/>
      </w:pPr>
      <w:r>
        <w:continuationSeparator/>
      </w:r>
    </w:p>
  </w:footnote>
  <w:footnote w:id="1">
    <w:p w:rsidR="00476A06" w:rsidRPr="00414AE6" w:rsidRDefault="00476A06" w:rsidP="00476A06">
      <w:pPr>
        <w:pStyle w:val="Textpoznpodarou"/>
        <w:rPr>
          <w:sz w:val="18"/>
          <w:szCs w:val="18"/>
        </w:rPr>
      </w:pPr>
      <w:r w:rsidRPr="00A51E44">
        <w:rPr>
          <w:rStyle w:val="Znakapoznpodarou"/>
          <w:sz w:val="18"/>
          <w:szCs w:val="18"/>
        </w:rPr>
        <w:footnoteRef/>
      </w:r>
      <w:r w:rsidRPr="00A51E44">
        <w:rPr>
          <w:sz w:val="18"/>
          <w:szCs w:val="18"/>
        </w:rPr>
        <w:t xml:space="preserve"> </w:t>
      </w:r>
      <w:r w:rsidRPr="00414AE6">
        <w:rPr>
          <w:sz w:val="18"/>
          <w:szCs w:val="18"/>
        </w:rPr>
        <w:t xml:space="preserve">Zdroj: Nejnovější čísla ČSÚ v rychlých informacích; </w:t>
      </w:r>
      <w:r w:rsidRPr="006677C1">
        <w:rPr>
          <w:sz w:val="18"/>
          <w:szCs w:val="18"/>
        </w:rPr>
        <w:t>http://www.czso.cz/csu/csu.nsf/informace/ccru110713.doc</w:t>
      </w:r>
    </w:p>
    <w:p w:rsidR="00476A06" w:rsidRPr="00A51E44" w:rsidRDefault="00476A06" w:rsidP="00476A06">
      <w:pPr>
        <w:pStyle w:val="Textpoznpodarou"/>
        <w:rPr>
          <w:sz w:val="18"/>
          <w:szCs w:val="18"/>
        </w:rPr>
      </w:pPr>
      <w:r w:rsidRPr="00414AE6">
        <w:rPr>
          <w:iCs/>
          <w:sz w:val="18"/>
          <w:szCs w:val="18"/>
        </w:rPr>
        <w:t xml:space="preserve">Údaje za </w:t>
      </w:r>
      <w:r>
        <w:rPr>
          <w:iCs/>
          <w:sz w:val="18"/>
          <w:szCs w:val="18"/>
        </w:rPr>
        <w:t>3</w:t>
      </w:r>
      <w:r w:rsidRPr="00414AE6">
        <w:rPr>
          <w:iCs/>
          <w:sz w:val="18"/>
          <w:szCs w:val="18"/>
        </w:rPr>
        <w:t>. čtvrtletí 2013 jsou předběžné; definitivní údaj</w:t>
      </w:r>
      <w:r>
        <w:rPr>
          <w:iCs/>
          <w:sz w:val="18"/>
          <w:szCs w:val="18"/>
        </w:rPr>
        <w:t>e za všechny čtvrtletí roku 2013</w:t>
      </w:r>
      <w:r w:rsidRPr="00414AE6">
        <w:rPr>
          <w:iCs/>
          <w:sz w:val="18"/>
          <w:szCs w:val="18"/>
        </w:rPr>
        <w:t xml:space="preserve"> budou známy nejpozději v dubnu 2014.</w:t>
      </w:r>
    </w:p>
  </w:footnote>
  <w:footnote w:id="2">
    <w:p w:rsidR="00813479" w:rsidRDefault="008134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39B4">
        <w:rPr>
          <w:sz w:val="18"/>
          <w:szCs w:val="18"/>
        </w:rPr>
        <w:t xml:space="preserve">Ostrava, </w:t>
      </w:r>
      <w:r>
        <w:rPr>
          <w:sz w:val="18"/>
          <w:szCs w:val="18"/>
        </w:rPr>
        <w:t>Klimkovice, Vřesina, Dolní Lhota, Horní Lhota, Čavisov, Velká Polom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6" w:rsidRDefault="00476A06" w:rsidP="00476A06">
    <w:pPr>
      <w:tabs>
        <w:tab w:val="center" w:pos="4819"/>
      </w:tabs>
      <w:rPr>
        <w:rStyle w:val="slostrnky"/>
        <w:rFonts w:ascii="Arial" w:hAnsi="Arial" w:cs="Arial"/>
        <w:b/>
        <w:color w:val="003C69"/>
      </w:rPr>
    </w:pPr>
    <w:r>
      <w:rPr>
        <w:rStyle w:val="slostrnky"/>
        <w:rFonts w:ascii="Arial" w:hAnsi="Arial" w:cs="Arial"/>
        <w:b/>
        <w:color w:val="003C69"/>
      </w:rPr>
      <w:t>Magistrát města Ostravy</w:t>
    </w:r>
    <w:r>
      <w:rPr>
        <w:rStyle w:val="slostrnky"/>
        <w:rFonts w:ascii="Arial" w:hAnsi="Arial" w:cs="Arial"/>
        <w:b/>
        <w:color w:val="003C69"/>
      </w:rPr>
      <w:br/>
      <w:t>Odbor ekonomického rozvoje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6"/>
    <w:rsid w:val="0001419D"/>
    <w:rsid w:val="00024033"/>
    <w:rsid w:val="00075B9D"/>
    <w:rsid w:val="000A427A"/>
    <w:rsid w:val="00107B22"/>
    <w:rsid w:val="00205367"/>
    <w:rsid w:val="002417F5"/>
    <w:rsid w:val="002B168E"/>
    <w:rsid w:val="002C76A5"/>
    <w:rsid w:val="00307DCC"/>
    <w:rsid w:val="00381013"/>
    <w:rsid w:val="00404622"/>
    <w:rsid w:val="00416437"/>
    <w:rsid w:val="00476A06"/>
    <w:rsid w:val="00485415"/>
    <w:rsid w:val="0051448B"/>
    <w:rsid w:val="00550C81"/>
    <w:rsid w:val="00571200"/>
    <w:rsid w:val="00574B35"/>
    <w:rsid w:val="005924E6"/>
    <w:rsid w:val="005D3F36"/>
    <w:rsid w:val="00624FCE"/>
    <w:rsid w:val="006929F5"/>
    <w:rsid w:val="006C282F"/>
    <w:rsid w:val="006E7D01"/>
    <w:rsid w:val="006F03EB"/>
    <w:rsid w:val="007324DC"/>
    <w:rsid w:val="007F309B"/>
    <w:rsid w:val="00813479"/>
    <w:rsid w:val="00953425"/>
    <w:rsid w:val="0095492F"/>
    <w:rsid w:val="00A73429"/>
    <w:rsid w:val="00A9638E"/>
    <w:rsid w:val="00BA4CD9"/>
    <w:rsid w:val="00BC6DE1"/>
    <w:rsid w:val="00BD35B2"/>
    <w:rsid w:val="00BF2A21"/>
    <w:rsid w:val="00C35C70"/>
    <w:rsid w:val="00C74BA7"/>
    <w:rsid w:val="00C91867"/>
    <w:rsid w:val="00DE7C74"/>
    <w:rsid w:val="00DF7020"/>
    <w:rsid w:val="00E44A42"/>
    <w:rsid w:val="00EC3097"/>
    <w:rsid w:val="00ED25F6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830D-70E0-4C8F-81C1-4BFD977E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Hromková Jana</dc:creator>
  <cp:lastModifiedBy>Hromková Jana</cp:lastModifiedBy>
  <cp:revision>30</cp:revision>
  <cp:lastPrinted>2014-02-18T09:44:00Z</cp:lastPrinted>
  <dcterms:created xsi:type="dcterms:W3CDTF">2014-02-07T10:59:00Z</dcterms:created>
  <dcterms:modified xsi:type="dcterms:W3CDTF">2014-02-18T09:59:00Z</dcterms:modified>
</cp:coreProperties>
</file>